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781CC">
      <w:pPr>
        <w:keepNext w:val="0"/>
        <w:keepLines w:val="0"/>
        <w:pageBreakBefore w:val="0"/>
        <w:widowControl w:val="0"/>
        <w:kinsoku/>
        <w:wordWrap/>
        <w:overflowPunct/>
        <w:topLinePunct w:val="0"/>
        <w:autoSpaceDE/>
        <w:autoSpaceDN/>
        <w:bidi w:val="0"/>
        <w:adjustRightInd/>
        <w:snapToGrid/>
        <w:spacing w:after="0" w:line="579"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p>
    <w:p w14:paraId="59B2B8A6">
      <w:pPr>
        <w:keepNext w:val="0"/>
        <w:keepLines w:val="0"/>
        <w:pageBreakBefore w:val="0"/>
        <w:widowControl w:val="0"/>
        <w:kinsoku/>
        <w:wordWrap/>
        <w:overflowPunct/>
        <w:topLinePunct w:val="0"/>
        <w:autoSpaceDE/>
        <w:autoSpaceDN/>
        <w:bidi w:val="0"/>
        <w:adjustRightInd/>
        <w:snapToGrid/>
        <w:spacing w:after="0" w:line="579"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福田区外商投资企业全周期协同服务工作机制（征求意见稿）起草说明</w:t>
      </w:r>
    </w:p>
    <w:p w14:paraId="3B20DA2E">
      <w:pPr>
        <w:keepNext w:val="0"/>
        <w:keepLines w:val="0"/>
        <w:pageBreakBefore w:val="0"/>
        <w:widowControl w:val="0"/>
        <w:kinsoku/>
        <w:wordWrap/>
        <w:overflowPunct/>
        <w:topLinePunct w:val="0"/>
        <w:autoSpaceDE/>
        <w:autoSpaceDN/>
        <w:bidi w:val="0"/>
        <w:adjustRightInd/>
        <w:snapToGrid/>
        <w:spacing w:after="0" w:line="579"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p>
    <w:p w14:paraId="17287DBF">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leftChars="0" w:right="0" w:rightChars="0" w:firstLine="640" w:firstLineChars="200"/>
        <w:jc w:val="both"/>
        <w:textAlignment w:val="auto"/>
        <w:outlineLvl w:val="9"/>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一、起草背景</w:t>
      </w:r>
    </w:p>
    <w:p w14:paraId="3AFD5E3E">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为深入贯彻落实党中央、国务院关于高水平对外开放的决策部署，持续优化外商投资环境，提升外商投资便利化水平，健全外商投资全周期服务体系，确保外商投资企业全程“有人跟、有人管、有保障”，结合福田区实际，制定本工作机制。</w:t>
      </w:r>
    </w:p>
    <w:p w14:paraId="131333B3">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leftChars="0" w:right="0" w:rightChars="0" w:firstLine="640" w:firstLineChars="200"/>
        <w:jc w:val="both"/>
        <w:textAlignment w:val="auto"/>
        <w:outlineLvl w:val="9"/>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二、起草过程</w:t>
      </w:r>
    </w:p>
    <w:p w14:paraId="584D670C">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机制起草过程中，深入学习并借鉴国内先进城市在招商引资及企业管理服务方面的优秀经验做法，结合福田区实际及各部门意见，形成本工作机制。</w:t>
      </w:r>
      <w:bookmarkStart w:id="0" w:name="_GoBack"/>
      <w:bookmarkEnd w:id="0"/>
    </w:p>
    <w:p w14:paraId="4C840349">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leftChars="0" w:right="0" w:rightChars="0" w:firstLine="640" w:firstLineChars="200"/>
        <w:jc w:val="both"/>
        <w:textAlignment w:val="auto"/>
        <w:outlineLvl w:val="9"/>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三、主要内容</w:t>
      </w:r>
    </w:p>
    <w:p w14:paraId="085538CB">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机制共分五个部分。第一部分明确工作目标，提出为外国投资者及在福田区投资经营的外商投资企业</w:t>
      </w:r>
      <w:r>
        <w:rPr>
          <w:rFonts w:hint="eastAsia" w:ascii="仿宋_GB2312" w:hAnsi="仿宋_GB2312" w:eastAsia="仿宋_GB2312" w:cs="仿宋_GB2312"/>
          <w:color w:val="auto"/>
          <w:kern w:val="2"/>
          <w:sz w:val="32"/>
          <w:szCs w:val="32"/>
          <w:lang w:val="en-US" w:eastAsia="zh-CN"/>
        </w:rPr>
        <w:t>覆盖从招引、设立、建设、运营到退出全生命周期的协同服务机制，确保外商投资全程“有人跟、有人管、有保障”</w:t>
      </w:r>
      <w:r>
        <w:rPr>
          <w:rFonts w:hint="eastAsia" w:ascii="仿宋_GB2312" w:hAnsi="仿宋_GB2312" w:eastAsia="仿宋_GB2312" w:cs="仿宋_GB2312"/>
          <w:color w:val="auto"/>
          <w:kern w:val="2"/>
          <w:sz w:val="32"/>
          <w:szCs w:val="32"/>
          <w:lang w:val="en-US" w:eastAsia="zh-CN" w:bidi="ar-SA"/>
        </w:rPr>
        <w:t>。第二部分明确适用范围，适用于外国自然人、企业或者其他组织直接或间接在福田区内投资活动，包括已实施及具有投资意向拟实施的投资，同步适用港澳投资者在福田区内投资活动。第三部分规范全周期协同服务流程，围绕招引对接、设立准入、建设投产、运营服务、调整退出五个阶段，细化各环节服务事项。第四部分建立协同服务机制，健全专班专员责任落实机制、跨部门联动服务保障机制，加强政企沟通与权益保护。第五部分明确责任分工，厘清区投资促进局、各行业（产业）主管部门、区政务服务与数据管理局、各街道办事处、区企业服务中心等主体职责，其他单位按职责协同配合。</w:t>
      </w:r>
    </w:p>
    <w:sectPr>
      <w:footerReference r:id="rId3" w:type="default"/>
      <w:pgSz w:w="12240" w:h="15840"/>
      <w:pgMar w:top="2098" w:right="1474" w:bottom="1984" w:left="1587"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97540">
    <w:pPr>
      <w:spacing w:after="160" w:line="380" w:lineRule="auto"/>
      <w:jc w:val="center"/>
    </w:pPr>
    <w:r>
      <w:rPr>
        <w:color w:val="999999"/>
        <w:sz w:val="18"/>
        <w:szCs w:val="18"/>
      </w:rPr>
      <w:t xml:space="preserve">— </w:t>
    </w:r>
    <w:r>
      <w:rPr>
        <w:color w:val="999999"/>
        <w:sz w:val="18"/>
        <w:szCs w:val="18"/>
      </w:rPr>
      <w:fldChar w:fldCharType="begin"/>
    </w:r>
    <w:r>
      <w:rPr>
        <w:color w:val="999999"/>
        <w:sz w:val="18"/>
        <w:szCs w:val="18"/>
      </w:rPr>
      <w:instrText xml:space="preserve">PAGE</w:instrText>
    </w:r>
    <w:r>
      <w:rPr>
        <w:color w:val="999999"/>
        <w:sz w:val="18"/>
        <w:szCs w:val="18"/>
      </w:rPr>
      <w:fldChar w:fldCharType="separate"/>
    </w:r>
    <w:r>
      <w:rPr>
        <w:color w:val="999999"/>
        <w:sz w:val="18"/>
        <w:szCs w:val="18"/>
      </w:rPr>
      <w:fldChar w:fldCharType="end"/>
    </w:r>
    <w:r>
      <w:rPr>
        <w:color w:val="999999"/>
        <w:sz w:val="18"/>
        <w:szCs w:val="1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ompat>
    <w:useFELayout/>
    <w:compatSetting w:name="compatibilityMode" w:uri="http://schemas.microsoft.com/office/word" w:val="15"/>
  </w:compat>
  <w:rsids>
    <w:rsidRoot w:val="00000000"/>
    <w:rsid w:val="1FD68880"/>
    <w:rsid w:val="2EC67D35"/>
    <w:rsid w:val="3F5F4B6A"/>
    <w:rsid w:val="78D64AD5"/>
    <w:rsid w:val="7D7749C5"/>
    <w:rsid w:val="7E639074"/>
    <w:rsid w:val="7F7F25E0"/>
    <w:rsid w:val="9B7EAE37"/>
    <w:rsid w:val="BFFFB358"/>
    <w:rsid w:val="CFF39CF6"/>
    <w:rsid w:val="FFFF08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仿宋"/>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仿宋"/>
      <w:color w:val="000000"/>
      <w:sz w:val="22"/>
      <w:szCs w:val="22"/>
    </w:rPr>
  </w:style>
  <w:style w:type="paragraph" w:styleId="2">
    <w:name w:val="heading 1"/>
    <w:next w:val="1"/>
    <w:qFormat/>
    <w:uiPriority w:val="0"/>
    <w:pPr>
      <w:keepNext/>
      <w:keepLines/>
      <w:widowControl/>
      <w:spacing w:before="360" w:after="200"/>
      <w:outlineLvl w:val="0"/>
    </w:pPr>
    <w:rPr>
      <w:rFonts w:ascii="黑体" w:hAnsi="黑体" w:eastAsia="黑体" w:cs="黑体"/>
      <w:b/>
      <w:bCs/>
      <w:color w:val="000000"/>
      <w:sz w:val="36"/>
      <w:szCs w:val="36"/>
    </w:rPr>
  </w:style>
  <w:style w:type="paragraph" w:styleId="3">
    <w:name w:val="heading 2"/>
    <w:next w:val="1"/>
    <w:qFormat/>
    <w:uiPriority w:val="0"/>
    <w:pPr>
      <w:keepNext/>
      <w:keepLines/>
      <w:widowControl/>
      <w:spacing w:before="360" w:after="200"/>
      <w:outlineLvl w:val="1"/>
    </w:pPr>
    <w:rPr>
      <w:rFonts w:ascii="黑体" w:hAnsi="黑体" w:eastAsia="黑体" w:cs="黑体"/>
      <w:b/>
      <w:bCs/>
      <w:color w:val="000000"/>
      <w:sz w:val="30"/>
      <w:szCs w:val="30"/>
    </w:rPr>
  </w:style>
  <w:style w:type="paragraph" w:styleId="4">
    <w:name w:val="heading 3"/>
    <w:next w:val="1"/>
    <w:qFormat/>
    <w:uiPriority w:val="0"/>
    <w:pPr>
      <w:keepNext/>
      <w:keepLines/>
      <w:widowControl/>
      <w:spacing w:before="360" w:after="200"/>
      <w:outlineLvl w:val="2"/>
    </w:pPr>
    <w:rPr>
      <w:rFonts w:ascii="黑体" w:hAnsi="黑体" w:eastAsia="黑体" w:cs="黑体"/>
      <w:b/>
      <w:bCs/>
      <w:color w:val="000000"/>
      <w:sz w:val="26"/>
      <w:szCs w:val="26"/>
    </w:rPr>
  </w:style>
  <w:style w:type="paragraph" w:styleId="5">
    <w:name w:val="heading 4"/>
    <w:next w:val="1"/>
    <w:qFormat/>
    <w:uiPriority w:val="0"/>
    <w:pPr>
      <w:keepNext/>
      <w:keepLines/>
      <w:widowControl/>
      <w:spacing w:before="360" w:after="200"/>
      <w:outlineLvl w:val="3"/>
    </w:pPr>
    <w:rPr>
      <w:rFonts w:ascii="黑体" w:hAnsi="黑体" w:eastAsia="黑体" w:cs="黑体"/>
      <w:b/>
      <w:bCs/>
      <w:color w:val="000000"/>
      <w:sz w:val="24"/>
      <w:szCs w:val="24"/>
    </w:rPr>
  </w:style>
  <w:style w:type="paragraph" w:styleId="6">
    <w:name w:val="heading 5"/>
    <w:next w:val="1"/>
    <w:qFormat/>
    <w:uiPriority w:val="0"/>
    <w:pPr>
      <w:widowControl/>
    </w:pPr>
    <w:rPr>
      <w:rFonts w:ascii="仿宋" w:hAnsi="仿宋" w:eastAsia="仿宋" w:cs="仿宋"/>
      <w:color w:val="2E74B5"/>
      <w:sz w:val="22"/>
      <w:szCs w:val="22"/>
    </w:rPr>
  </w:style>
  <w:style w:type="paragraph" w:styleId="7">
    <w:name w:val="heading 6"/>
    <w:next w:val="1"/>
    <w:qFormat/>
    <w:uiPriority w:val="0"/>
    <w:pPr>
      <w:widowControl/>
    </w:pPr>
    <w:rPr>
      <w:rFonts w:ascii="仿宋" w:hAnsi="仿宋" w:eastAsia="仿宋" w:cs="仿宋"/>
      <w:color w:val="1F4D78"/>
      <w:sz w:val="22"/>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widowControl/>
      <w:spacing w:after="0" w:line="240" w:lineRule="auto"/>
    </w:pPr>
    <w:rPr>
      <w:rFonts w:ascii="仿宋" w:hAnsi="仿宋" w:eastAsia="仿宋" w:cs="仿宋"/>
      <w:color w:val="000000"/>
      <w:sz w:val="20"/>
      <w:szCs w:val="20"/>
    </w:rPr>
  </w:style>
  <w:style w:type="paragraph" w:styleId="9">
    <w:name w:val="footnote text"/>
    <w:link w:val="17"/>
    <w:semiHidden/>
    <w:unhideWhenUsed/>
    <w:qFormat/>
    <w:uiPriority w:val="99"/>
    <w:pPr>
      <w:widowControl/>
      <w:spacing w:after="0" w:line="240" w:lineRule="auto"/>
    </w:pPr>
    <w:rPr>
      <w:rFonts w:ascii="仿宋" w:hAnsi="仿宋" w:eastAsia="仿宋" w:cs="仿宋"/>
      <w:color w:val="000000"/>
      <w:sz w:val="20"/>
      <w:szCs w:val="20"/>
    </w:rPr>
  </w:style>
  <w:style w:type="paragraph" w:styleId="10">
    <w:name w:val="Title"/>
    <w:qFormat/>
    <w:uiPriority w:val="0"/>
    <w:pPr>
      <w:widowControl/>
    </w:pPr>
    <w:rPr>
      <w:rFonts w:ascii="仿宋" w:hAnsi="仿宋" w:eastAsia="仿宋" w:cs="仿宋"/>
      <w:color w:val="000000"/>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pPr>
      <w:widowControl/>
    </w:pPr>
    <w:rPr>
      <w:rFonts w:ascii="仿宋" w:hAnsi="仿宋" w:eastAsia="仿宋" w:cs="仿宋"/>
      <w:color w:val="000000"/>
      <w:sz w:val="22"/>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853</Words>
  <Characters>853</Characters>
  <TotalTime>2</TotalTime>
  <ScaleCrop>false</ScaleCrop>
  <LinksUpToDate>false</LinksUpToDate>
  <CharactersWithSpaces>853</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2026-09-10T11:00:00Z</dcterms:created>
  <dc:creator>Un-named</dc:creator>
  <cp:lastModifiedBy>TCJ</cp:lastModifiedBy>
  <dcterms:modified xsi:type="dcterms:W3CDTF">2026-09-17T15:39:54Z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eyJoZGlkIjoiNWMxYTMyNGViZWYzMWYwZjEwZTY3ZGEyZTllZjM4OTUiLCJ1c2VySWQiOiIzMTM2NTUyOTIifQ==</vt:lpwstr>
  </property>
  <property fmtid="{D5CDD505-2E9C-101B-9397-08002B2CF9AE}" pid="3" name="KSOProductBuildVer">
    <vt:lpwstr>2052-12.1.2.24722</vt:lpwstr>
  </property>
  <property fmtid="{D5CDD505-2E9C-101B-9397-08002B2CF9AE}" pid="4" name="ICV">
    <vt:lpwstr>3D11D15C02D45EFA1851AB6A5236DD6D_43</vt:lpwstr>
  </property>
</Properties>
</file>