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0DA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2026年福田区社会医疗机构医疗服务质量整体评估</w:t>
      </w:r>
    </w:p>
    <w:p w14:paraId="7443402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指标体系（口腔类）</w:t>
      </w:r>
    </w:p>
    <w:p w14:paraId="3E72A246">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基本条件（</w:t>
      </w:r>
      <w:r>
        <w:rPr>
          <w:rFonts w:hint="eastAsia" w:ascii="宋体" w:hAnsi="宋体" w:cs="宋体"/>
          <w:b w:val="0"/>
          <w:bCs/>
          <w:color w:val="auto"/>
          <w:sz w:val="32"/>
          <w:szCs w:val="32"/>
          <w:highlight w:val="none"/>
          <w:lang w:val="en-US" w:eastAsia="zh-CN"/>
        </w:rPr>
        <w:t>5</w:t>
      </w:r>
      <w:r>
        <w:rPr>
          <w:rFonts w:hint="eastAsia" w:ascii="宋体" w:hAnsi="宋体" w:eastAsia="宋体" w:cs="宋体"/>
          <w:b w:val="0"/>
          <w:bCs/>
          <w:color w:val="auto"/>
          <w:sz w:val="32"/>
          <w:szCs w:val="32"/>
          <w:highlight w:val="none"/>
        </w:rPr>
        <w:t>分）</w:t>
      </w:r>
    </w:p>
    <w:tbl>
      <w:tblPr>
        <w:tblStyle w:val="3"/>
        <w:tblpPr w:leftFromText="180" w:rightFromText="180" w:vertAnchor="text" w:horzAnchor="page" w:tblpX="629"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1060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3F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D3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D8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C6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14:paraId="049AE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5" w:hRule="atLeast"/>
        </w:trPr>
        <w:tc>
          <w:tcPr>
            <w:tcW w:w="1134" w:type="dxa"/>
            <w:tcBorders>
              <w:top w:val="single" w:color="000000" w:sz="4" w:space="0"/>
              <w:left w:val="single" w:color="000000" w:sz="4" w:space="0"/>
              <w:right w:val="single" w:color="000000" w:sz="4" w:space="0"/>
            </w:tcBorders>
            <w:shd w:val="clear" w:color="auto" w:fill="auto"/>
            <w:vAlign w:val="center"/>
          </w:tcPr>
          <w:p w14:paraId="147727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1.1</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重要公示</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06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医疗机构的牌匾、印章、医疗文书中的机构名称</w:t>
            </w:r>
            <w:r>
              <w:rPr>
                <w:rFonts w:hint="eastAsia" w:ascii="宋体" w:hAnsi="宋体" w:eastAsia="宋体" w:cs="宋体"/>
                <w:i w:val="0"/>
                <w:iCs w:val="0"/>
                <w:color w:val="auto"/>
                <w:sz w:val="18"/>
                <w:szCs w:val="18"/>
                <w:highlight w:val="none"/>
                <w:u w:val="none"/>
                <w:lang w:val="en-US" w:eastAsia="zh-CN"/>
              </w:rPr>
              <w:t>应当与医疗机构执业许可证或诊所备案凭证载明的机构名称一致</w:t>
            </w:r>
            <w:r>
              <w:rPr>
                <w:rFonts w:hint="eastAsia" w:ascii="宋体" w:hAnsi="宋体" w:eastAsia="宋体" w:cs="宋体"/>
                <w:i w:val="0"/>
                <w:iCs w:val="0"/>
                <w:color w:val="auto"/>
                <w:sz w:val="18"/>
                <w:szCs w:val="18"/>
                <w:highlight w:val="none"/>
                <w:u w:val="none"/>
              </w:rPr>
              <w:t>。</w:t>
            </w:r>
          </w:p>
          <w:p w14:paraId="398215E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）卫生技术人员开展医疗卫生技术活动时应当佩戴有</w:t>
            </w:r>
            <w:r>
              <w:rPr>
                <w:rFonts w:hint="eastAsia" w:ascii="宋体" w:hAnsi="宋体" w:cs="宋体"/>
                <w:i w:val="0"/>
                <w:iCs w:val="0"/>
                <w:color w:val="auto"/>
                <w:sz w:val="18"/>
                <w:szCs w:val="18"/>
                <w:highlight w:val="none"/>
                <w:u w:val="none"/>
                <w:lang w:val="en-US" w:eastAsia="zh-CN"/>
              </w:rPr>
              <w:t>医疗机构全称、</w:t>
            </w:r>
            <w:r>
              <w:rPr>
                <w:rFonts w:hint="eastAsia" w:ascii="宋体" w:hAnsi="宋体" w:eastAsia="宋体" w:cs="宋体"/>
                <w:i w:val="0"/>
                <w:iCs w:val="0"/>
                <w:color w:val="auto"/>
                <w:sz w:val="18"/>
                <w:szCs w:val="18"/>
                <w:highlight w:val="none"/>
                <w:u w:val="none"/>
                <w:lang w:eastAsia="zh-CN"/>
              </w:rPr>
              <w:t>本人姓名、照片、职务或者技术职称的标牌。</w:t>
            </w:r>
          </w:p>
          <w:p w14:paraId="3BDF00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医疗机构应当在其执业场所显著位置悬挂医疗机构执业许可证或诊所备案凭证、工商营业执照、有关单项诊疗服务许可证。按要求对有关服务价格、产品价格、诊疗时间、出诊人员等信息进行公示。</w:t>
            </w:r>
          </w:p>
          <w:p w14:paraId="1A507CE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卫生技术人员办理相关注册手续或多点执业备案。</w:t>
            </w:r>
          </w:p>
        </w:tc>
        <w:tc>
          <w:tcPr>
            <w:tcW w:w="624" w:type="dxa"/>
            <w:tcBorders>
              <w:top w:val="single" w:color="000000" w:sz="4" w:space="0"/>
              <w:left w:val="single" w:color="000000" w:sz="4" w:space="0"/>
              <w:right w:val="single" w:color="000000" w:sz="4" w:space="0"/>
            </w:tcBorders>
            <w:shd w:val="clear" w:color="auto" w:fill="auto"/>
            <w:vAlign w:val="center"/>
          </w:tcPr>
          <w:p w14:paraId="073775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F74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w:t>
            </w:r>
          </w:p>
          <w:p w14:paraId="5083161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机构牌匾、印章、医疗文书中的机构名称与医疗机构执业</w:t>
            </w:r>
            <w:r>
              <w:rPr>
                <w:rFonts w:hint="eastAsia" w:ascii="宋体" w:hAnsi="宋体" w:eastAsia="宋体" w:cs="宋体"/>
                <w:i w:val="0"/>
                <w:iCs w:val="0"/>
                <w:color w:val="auto"/>
                <w:sz w:val="18"/>
                <w:szCs w:val="18"/>
                <w:highlight w:val="none"/>
                <w:u w:val="none"/>
                <w:lang w:val="en-US" w:eastAsia="zh-CN"/>
              </w:rPr>
              <w:t>许可证或诊所备案凭证载明的机构名称不一致，</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0.25</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eastAsia="zh-CN"/>
              </w:rPr>
              <w:t>。</w:t>
            </w:r>
          </w:p>
          <w:p w14:paraId="0343CA8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卫生技术人员未佩戴标牌或标牌信息不全，</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0.25</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eastAsia="zh-CN"/>
              </w:rPr>
              <w:t>。</w:t>
            </w:r>
          </w:p>
          <w:p w14:paraId="18B72B5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机构场所公示信息一项不符合要求，扣</w:t>
            </w:r>
            <w:r>
              <w:rPr>
                <w:rFonts w:hint="eastAsia" w:ascii="宋体" w:hAnsi="宋体" w:eastAsia="宋体" w:cs="宋体"/>
                <w:i w:val="0"/>
                <w:iCs w:val="0"/>
                <w:color w:val="auto"/>
                <w:sz w:val="18"/>
                <w:szCs w:val="18"/>
                <w:highlight w:val="none"/>
                <w:u w:val="none"/>
                <w:lang w:val="en-US" w:eastAsia="zh-CN"/>
              </w:rPr>
              <w:t>0.25</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eastAsia="zh-CN"/>
              </w:rPr>
              <w:t>。</w:t>
            </w:r>
          </w:p>
          <w:p w14:paraId="5EA26FE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查看多点注册备案资料</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一项或一人不符合要求，扣</w:t>
            </w:r>
            <w:r>
              <w:rPr>
                <w:rFonts w:hint="eastAsia" w:ascii="宋体" w:hAnsi="宋体" w:eastAsia="宋体" w:cs="宋体"/>
                <w:i w:val="0"/>
                <w:iCs w:val="0"/>
                <w:color w:val="auto"/>
                <w:sz w:val="18"/>
                <w:szCs w:val="18"/>
                <w:highlight w:val="none"/>
                <w:u w:val="none"/>
                <w:lang w:val="en-US" w:eastAsia="zh-CN"/>
              </w:rPr>
              <w:t>0.25</w:t>
            </w:r>
            <w:r>
              <w:rPr>
                <w:rFonts w:hint="eastAsia" w:ascii="宋体" w:hAnsi="宋体" w:eastAsia="宋体" w:cs="宋体"/>
                <w:i w:val="0"/>
                <w:iCs w:val="0"/>
                <w:color w:val="auto"/>
                <w:sz w:val="18"/>
                <w:szCs w:val="18"/>
                <w:highlight w:val="none"/>
                <w:u w:val="none"/>
              </w:rPr>
              <w:t>分。</w:t>
            </w:r>
          </w:p>
        </w:tc>
      </w:tr>
      <w:tr w14:paraId="7DF13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0" w:hRule="atLeast"/>
        </w:trPr>
        <w:tc>
          <w:tcPr>
            <w:tcW w:w="1134" w:type="dxa"/>
            <w:tcBorders>
              <w:top w:val="single" w:color="000000" w:sz="4" w:space="0"/>
              <w:left w:val="single" w:color="000000" w:sz="4" w:space="0"/>
              <w:right w:val="single" w:color="000000" w:sz="4" w:space="0"/>
            </w:tcBorders>
            <w:shd w:val="clear" w:color="auto" w:fill="auto"/>
            <w:vAlign w:val="center"/>
          </w:tcPr>
          <w:p w14:paraId="5C84EE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1.2</w:t>
            </w:r>
          </w:p>
          <w:p w14:paraId="6C88DA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sz w:val="18"/>
                <w:szCs w:val="18"/>
                <w:highlight w:val="none"/>
                <w:u w:val="none"/>
              </w:rPr>
              <w:t>基本设备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217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诊所应配备吸引器、光固化灯</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超声洁治器、空气净化设备、高压灭菌</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牙科综合治疗椅、医师座椅、病历书写桌、口腔检查器械、血压计</w:t>
            </w:r>
            <w:r>
              <w:rPr>
                <w:rFonts w:hint="eastAsia" w:ascii="宋体" w:hAnsi="宋体" w:cs="宋体"/>
                <w:i w:val="0"/>
                <w:iCs w:val="0"/>
                <w:color w:val="auto"/>
                <w:sz w:val="18"/>
                <w:szCs w:val="18"/>
                <w:highlight w:val="none"/>
                <w:u w:val="none"/>
                <w:lang w:eastAsia="zh-CN"/>
              </w:rPr>
              <w:t>等。</w:t>
            </w:r>
          </w:p>
          <w:p w14:paraId="298E5FD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Times New Roman"/>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设备与核定的诊疗科目相符。</w:t>
            </w:r>
          </w:p>
        </w:tc>
        <w:tc>
          <w:tcPr>
            <w:tcW w:w="624" w:type="dxa"/>
            <w:tcBorders>
              <w:top w:val="single" w:color="000000" w:sz="4" w:space="0"/>
              <w:left w:val="single" w:color="000000" w:sz="4" w:space="0"/>
              <w:right w:val="single" w:color="000000" w:sz="4" w:space="0"/>
            </w:tcBorders>
            <w:shd w:val="clear" w:color="auto" w:fill="auto"/>
            <w:vAlign w:val="center"/>
          </w:tcPr>
          <w:p w14:paraId="25F7A5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05A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w:t>
            </w:r>
          </w:p>
          <w:p w14:paraId="2E2A2F4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基本设备齐全，得</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分。</w:t>
            </w:r>
          </w:p>
          <w:p w14:paraId="71179C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基本设备缺一项，扣0.25分。</w:t>
            </w:r>
          </w:p>
        </w:tc>
      </w:tr>
      <w:tr w14:paraId="6AA78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0C3F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1.3</w:t>
            </w:r>
          </w:p>
          <w:p w14:paraId="3FE12D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sz w:val="18"/>
                <w:szCs w:val="18"/>
                <w:highlight w:val="none"/>
                <w:u w:val="none"/>
              </w:rPr>
              <w:t>人员配备</w:t>
            </w:r>
          </w:p>
        </w:tc>
        <w:tc>
          <w:tcPr>
            <w:tcW w:w="5556" w:type="dxa"/>
            <w:tcBorders>
              <w:top w:val="single" w:color="auto" w:sz="4" w:space="0"/>
              <w:left w:val="single" w:color="auto" w:sz="4" w:space="0"/>
              <w:bottom w:val="single" w:color="auto" w:sz="4" w:space="0"/>
              <w:right w:val="single" w:color="auto" w:sz="4" w:space="0"/>
            </w:tcBorders>
            <w:shd w:val="clear" w:color="auto" w:fill="auto"/>
            <w:vAlign w:val="center"/>
          </w:tcPr>
          <w:p w14:paraId="257A701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bCs/>
                <w:i w:val="0"/>
                <w:iCs w:val="0"/>
                <w:color w:val="auto"/>
                <w:sz w:val="18"/>
                <w:szCs w:val="18"/>
                <w:highlight w:val="none"/>
                <w:u w:val="none"/>
                <w:lang w:val="en-US" w:eastAsia="zh-CN"/>
              </w:rPr>
            </w:pPr>
            <w:r>
              <w:rPr>
                <w:rFonts w:hint="eastAsia" w:ascii="宋体" w:hAnsi="宋体" w:cs="宋体"/>
                <w:b/>
                <w:bCs/>
                <w:i w:val="0"/>
                <w:iCs w:val="0"/>
                <w:color w:val="auto"/>
                <w:sz w:val="18"/>
                <w:szCs w:val="18"/>
                <w:highlight w:val="none"/>
                <w:u w:val="none"/>
                <w:lang w:val="en-US" w:eastAsia="zh-CN"/>
              </w:rPr>
              <w:t>医师：</w:t>
            </w:r>
          </w:p>
          <w:p w14:paraId="48D8086B">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b w:val="0"/>
                <w:bCs w:val="0"/>
                <w:i w:val="0"/>
                <w:iCs w:val="0"/>
                <w:color w:val="auto"/>
                <w:sz w:val="18"/>
                <w:szCs w:val="18"/>
                <w:highlight w:val="none"/>
                <w:u w:val="none"/>
                <w:lang w:val="en-US" w:eastAsia="zh-CN"/>
              </w:rPr>
              <w:t>（1）门诊部：</w:t>
            </w:r>
            <w:r>
              <w:rPr>
                <w:rFonts w:hint="eastAsia" w:ascii="宋体" w:hAnsi="宋体" w:eastAsia="宋体" w:cs="宋体"/>
                <w:i w:val="0"/>
                <w:iCs w:val="0"/>
                <w:color w:val="auto"/>
                <w:sz w:val="18"/>
                <w:szCs w:val="18"/>
                <w:highlight w:val="none"/>
                <w:u w:val="none"/>
                <w:lang w:val="en-US" w:eastAsia="zh-CN"/>
              </w:rPr>
              <w:t>①</w:t>
            </w:r>
            <w:r>
              <w:rPr>
                <w:rFonts w:hint="eastAsia" w:ascii="宋体" w:hAnsi="宋体" w:eastAsia="宋体" w:cs="宋体"/>
                <w:i w:val="0"/>
                <w:iCs w:val="0"/>
                <w:color w:val="auto"/>
                <w:sz w:val="18"/>
                <w:szCs w:val="18"/>
                <w:highlight w:val="none"/>
                <w:u w:val="none"/>
              </w:rPr>
              <w:t>每牙科治疗椅至少配备1.03名卫生技术人员；</w:t>
            </w:r>
          </w:p>
          <w:p w14:paraId="3F6028F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②</w:t>
            </w:r>
            <w:r>
              <w:rPr>
                <w:rFonts w:hint="eastAsia" w:ascii="宋体" w:hAnsi="宋体" w:eastAsia="宋体" w:cs="宋体"/>
                <w:i w:val="0"/>
                <w:iCs w:val="0"/>
                <w:color w:val="auto"/>
                <w:sz w:val="18"/>
                <w:szCs w:val="18"/>
                <w:highlight w:val="none"/>
                <w:u w:val="none"/>
              </w:rPr>
              <w:t>至少有2名口腔科医师，其中1名具有主治医师以上职称；</w:t>
            </w:r>
          </w:p>
          <w:p w14:paraId="6BCA868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val="en-US" w:eastAsia="zh-CN"/>
              </w:rPr>
              <w:t>③</w:t>
            </w:r>
            <w:r>
              <w:rPr>
                <w:rFonts w:hint="eastAsia" w:ascii="宋体" w:hAnsi="宋体" w:eastAsia="宋体" w:cs="宋体"/>
                <w:i w:val="0"/>
                <w:iCs w:val="0"/>
                <w:color w:val="auto"/>
                <w:sz w:val="18"/>
                <w:szCs w:val="18"/>
                <w:highlight w:val="none"/>
                <w:u w:val="none"/>
              </w:rPr>
              <w:t>牙科治疗椅超过4台的，每增设4台牙椅，至少增加1名口腔科</w:t>
            </w:r>
            <w:r>
              <w:rPr>
                <w:rFonts w:hint="eastAsia" w:ascii="宋体" w:hAnsi="宋体" w:eastAsia="宋体" w:cs="宋体"/>
                <w:i w:val="0"/>
                <w:iCs w:val="0"/>
                <w:color w:val="auto"/>
                <w:sz w:val="18"/>
                <w:szCs w:val="18"/>
                <w:highlight w:val="none"/>
                <w:u w:val="none"/>
                <w:lang w:val="en-US" w:eastAsia="zh-CN"/>
              </w:rPr>
              <w:t>执业</w:t>
            </w:r>
            <w:r>
              <w:rPr>
                <w:rFonts w:hint="eastAsia" w:ascii="宋体" w:hAnsi="宋体" w:eastAsia="宋体" w:cs="宋体"/>
                <w:i w:val="0"/>
                <w:iCs w:val="0"/>
                <w:color w:val="auto"/>
                <w:sz w:val="18"/>
                <w:szCs w:val="18"/>
                <w:highlight w:val="none"/>
                <w:u w:val="none"/>
              </w:rPr>
              <w:t>医师。</w:t>
            </w:r>
          </w:p>
          <w:p w14:paraId="7B256E0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诊所</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①</w:t>
            </w:r>
            <w:r>
              <w:rPr>
                <w:rFonts w:hint="eastAsia" w:ascii="宋体" w:hAnsi="宋体" w:eastAsia="宋体" w:cs="宋体"/>
                <w:i w:val="0"/>
                <w:iCs w:val="0"/>
                <w:color w:val="auto"/>
                <w:sz w:val="18"/>
                <w:szCs w:val="18"/>
                <w:highlight w:val="none"/>
                <w:u w:val="none"/>
              </w:rPr>
              <w:t>至少有1名取得口腔类别执业医师资格，经注册后在医疗</w:t>
            </w:r>
            <w:r>
              <w:rPr>
                <w:rFonts w:hint="eastAsia" w:ascii="宋体" w:hAnsi="宋体" w:eastAsia="宋体" w:cs="宋体"/>
                <w:i w:val="0"/>
                <w:iCs w:val="0"/>
                <w:color w:val="auto"/>
                <w:sz w:val="18"/>
                <w:szCs w:val="18"/>
                <w:highlight w:val="none"/>
                <w:u w:val="none"/>
                <w:lang w:val="en-US" w:eastAsia="zh-CN"/>
              </w:rPr>
              <w:t>卫生机</w:t>
            </w:r>
            <w:r>
              <w:rPr>
                <w:rFonts w:hint="eastAsia" w:ascii="宋体" w:hAnsi="宋体" w:eastAsia="宋体" w:cs="宋体"/>
                <w:i w:val="0"/>
                <w:iCs w:val="0"/>
                <w:color w:val="auto"/>
                <w:sz w:val="18"/>
                <w:szCs w:val="18"/>
                <w:highlight w:val="none"/>
                <w:u w:val="none"/>
              </w:rPr>
              <w:t>构</w:t>
            </w:r>
            <w:r>
              <w:rPr>
                <w:rFonts w:hint="eastAsia" w:ascii="宋体" w:hAnsi="宋体" w:eastAsia="宋体" w:cs="宋体"/>
                <w:i w:val="0"/>
                <w:iCs w:val="0"/>
                <w:color w:val="auto"/>
                <w:sz w:val="18"/>
                <w:szCs w:val="18"/>
                <w:highlight w:val="none"/>
                <w:u w:val="none"/>
                <w:lang w:val="en-US" w:eastAsia="zh-CN"/>
              </w:rPr>
              <w:t>执业</w:t>
            </w:r>
            <w:r>
              <w:rPr>
                <w:rFonts w:hint="eastAsia" w:ascii="宋体" w:hAnsi="宋体" w:eastAsia="宋体" w:cs="宋体"/>
                <w:i w:val="0"/>
                <w:iCs w:val="0"/>
                <w:color w:val="auto"/>
                <w:sz w:val="18"/>
                <w:szCs w:val="18"/>
                <w:highlight w:val="none"/>
                <w:u w:val="none"/>
              </w:rPr>
              <w:t>满5年，身体健康的执业医师；</w:t>
            </w:r>
          </w:p>
          <w:p w14:paraId="31E0D2C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②</w:t>
            </w:r>
            <w:r>
              <w:rPr>
                <w:rFonts w:hint="eastAsia" w:ascii="宋体" w:hAnsi="宋体" w:eastAsia="宋体" w:cs="宋体"/>
                <w:i w:val="0"/>
                <w:iCs w:val="0"/>
                <w:color w:val="auto"/>
                <w:sz w:val="18"/>
                <w:szCs w:val="18"/>
                <w:highlight w:val="none"/>
                <w:u w:val="none"/>
              </w:rPr>
              <w:t>每增设2台口腔综合治疗台，至少增加1名口腔医师；</w:t>
            </w:r>
          </w:p>
          <w:p w14:paraId="242C01E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③</w:t>
            </w:r>
            <w:r>
              <w:rPr>
                <w:rFonts w:hint="eastAsia" w:ascii="宋体" w:hAnsi="宋体" w:eastAsia="宋体" w:cs="宋体"/>
                <w:i w:val="0"/>
                <w:iCs w:val="0"/>
                <w:color w:val="auto"/>
                <w:sz w:val="18"/>
                <w:szCs w:val="18"/>
                <w:highlight w:val="none"/>
                <w:u w:val="none"/>
              </w:rPr>
              <w:t>设4台以上口腔综合治疗台的，至少有1名具有口腔主治医师以上专业技术职务任职资格的人员。</w:t>
            </w:r>
          </w:p>
          <w:p w14:paraId="0C89AD8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bCs/>
                <w:i w:val="0"/>
                <w:iCs w:val="0"/>
                <w:color w:val="auto"/>
                <w:sz w:val="18"/>
                <w:szCs w:val="18"/>
                <w:highlight w:val="none"/>
                <w:u w:val="none"/>
                <w:lang w:val="en-US" w:eastAsia="zh-CN"/>
              </w:rPr>
            </w:pPr>
            <w:r>
              <w:rPr>
                <w:rFonts w:hint="eastAsia" w:ascii="宋体" w:hAnsi="宋体" w:cs="宋体"/>
                <w:b/>
                <w:bCs/>
                <w:i w:val="0"/>
                <w:iCs w:val="0"/>
                <w:color w:val="auto"/>
                <w:sz w:val="18"/>
                <w:szCs w:val="18"/>
                <w:highlight w:val="none"/>
                <w:u w:val="none"/>
                <w:lang w:val="en-US" w:eastAsia="zh-CN"/>
              </w:rPr>
              <w:t>护士：</w:t>
            </w:r>
          </w:p>
          <w:p w14:paraId="32CE466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eastAsia="zh-CN"/>
              </w:rPr>
              <w:t>）门诊部：医生与护理人员之比不低于1</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eastAsia="zh-CN"/>
              </w:rPr>
              <w:t>1。</w:t>
            </w:r>
          </w:p>
          <w:p w14:paraId="320CA76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）诊所：</w:t>
            </w:r>
            <w:r>
              <w:rPr>
                <w:rFonts w:hint="eastAsia" w:ascii="宋体" w:hAnsi="宋体" w:eastAsia="宋体" w:cs="宋体"/>
                <w:i w:val="0"/>
                <w:iCs w:val="0"/>
                <w:color w:val="auto"/>
                <w:sz w:val="18"/>
                <w:szCs w:val="18"/>
                <w:highlight w:val="none"/>
                <w:u w:val="none"/>
                <w:lang w:val="en-US" w:eastAsia="zh-CN"/>
              </w:rPr>
              <w:t>①</w:t>
            </w:r>
            <w:r>
              <w:rPr>
                <w:rFonts w:hint="eastAsia" w:ascii="宋体" w:hAnsi="宋体" w:eastAsia="宋体" w:cs="宋体"/>
                <w:i w:val="0"/>
                <w:iCs w:val="0"/>
                <w:color w:val="auto"/>
                <w:sz w:val="18"/>
                <w:szCs w:val="18"/>
                <w:highlight w:val="none"/>
                <w:u w:val="none"/>
                <w:lang w:eastAsia="zh-CN"/>
              </w:rPr>
              <w:t>至少有1名注册护士；</w:t>
            </w:r>
          </w:p>
          <w:p w14:paraId="7E409F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bCs/>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w:t>
            </w:r>
            <w:r>
              <w:rPr>
                <w:rFonts w:hint="eastAsia" w:ascii="宋体" w:hAnsi="宋体" w:eastAsia="宋体" w:cs="宋体"/>
                <w:i w:val="0"/>
                <w:iCs w:val="0"/>
                <w:color w:val="auto"/>
                <w:sz w:val="18"/>
                <w:szCs w:val="18"/>
                <w:highlight w:val="none"/>
                <w:u w:val="none"/>
                <w:lang w:eastAsia="zh-CN"/>
              </w:rPr>
              <w:t>每增加3台口腔综合治疗台，至少增加1名注册护士。</w:t>
            </w:r>
          </w:p>
        </w:tc>
        <w:tc>
          <w:tcPr>
            <w:tcW w:w="624" w:type="dxa"/>
            <w:tcBorders>
              <w:top w:val="single" w:color="auto" w:sz="4" w:space="0"/>
              <w:left w:val="single" w:color="auto" w:sz="4" w:space="0"/>
              <w:bottom w:val="single" w:color="auto" w:sz="4" w:space="0"/>
              <w:right w:val="single" w:color="auto" w:sz="4" w:space="0"/>
            </w:tcBorders>
            <w:shd w:val="clear" w:color="auto" w:fill="auto"/>
            <w:vAlign w:val="center"/>
          </w:tcPr>
          <w:p w14:paraId="1A6DDC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1</w:t>
            </w:r>
          </w:p>
        </w:tc>
        <w:tc>
          <w:tcPr>
            <w:tcW w:w="3628" w:type="dxa"/>
            <w:tcBorders>
              <w:top w:val="single" w:color="auto" w:sz="4" w:space="0"/>
              <w:left w:val="single" w:color="auto" w:sz="4" w:space="0"/>
              <w:bottom w:val="single" w:color="auto" w:sz="4" w:space="0"/>
              <w:right w:val="single" w:color="auto" w:sz="4" w:space="0"/>
            </w:tcBorders>
            <w:shd w:val="clear" w:color="auto" w:fill="auto"/>
            <w:vAlign w:val="center"/>
          </w:tcPr>
          <w:p w14:paraId="3FA30F4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实地考察、查看原件。</w:t>
            </w:r>
          </w:p>
          <w:p w14:paraId="539C80CA">
            <w:pPr>
              <w:keepNext w:val="0"/>
              <w:keepLines w:val="0"/>
              <w:pageBreakBefore w:val="0"/>
              <w:widowControl/>
              <w:numPr>
                <w:ilvl w:val="0"/>
                <w:numId w:val="2"/>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医师配备</w:t>
            </w:r>
            <w:r>
              <w:rPr>
                <w:rFonts w:hint="eastAsia" w:ascii="宋体" w:hAnsi="宋体" w:eastAsia="宋体" w:cs="宋体"/>
                <w:i w:val="0"/>
                <w:iCs w:val="0"/>
                <w:color w:val="auto"/>
                <w:sz w:val="18"/>
                <w:szCs w:val="18"/>
                <w:highlight w:val="none"/>
                <w:u w:val="none"/>
              </w:rPr>
              <w:t>一项不符合要求，</w:t>
            </w:r>
            <w:r>
              <w:rPr>
                <w:rFonts w:hint="eastAsia" w:ascii="宋体" w:hAnsi="宋体" w:cs="宋体"/>
                <w:i w:val="0"/>
                <w:iCs w:val="0"/>
                <w:color w:val="auto"/>
                <w:sz w:val="18"/>
                <w:szCs w:val="18"/>
                <w:highlight w:val="none"/>
                <w:u w:val="none"/>
                <w:lang w:val="en-US" w:eastAsia="zh-CN"/>
              </w:rPr>
              <w:t>扣</w:t>
            </w:r>
            <w:r>
              <w:rPr>
                <w:rFonts w:hint="default"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14:paraId="2FF74BB1">
            <w:pPr>
              <w:keepNext w:val="0"/>
              <w:keepLines w:val="0"/>
              <w:pageBreakBefore w:val="0"/>
              <w:widowControl/>
              <w:numPr>
                <w:ilvl w:val="0"/>
                <w:numId w:val="2"/>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护士配备一项不符合要求，扣</w:t>
            </w:r>
            <w:r>
              <w:rPr>
                <w:rFonts w:hint="default" w:ascii="宋体" w:hAnsi="宋体" w:cs="宋体"/>
                <w:i w:val="0"/>
                <w:iCs w:val="0"/>
                <w:color w:val="auto"/>
                <w:sz w:val="18"/>
                <w:szCs w:val="18"/>
                <w:highlight w:val="none"/>
                <w:u w:val="none"/>
                <w:lang w:val="en-US" w:eastAsia="zh-CN"/>
              </w:rPr>
              <w:t>0.5</w:t>
            </w:r>
            <w:r>
              <w:rPr>
                <w:rFonts w:hint="eastAsia" w:ascii="宋体" w:hAnsi="宋体" w:cs="宋体"/>
                <w:i w:val="0"/>
                <w:iCs w:val="0"/>
                <w:color w:val="auto"/>
                <w:sz w:val="18"/>
                <w:szCs w:val="18"/>
                <w:highlight w:val="none"/>
                <w:u w:val="none"/>
                <w:lang w:val="en-US" w:eastAsia="zh-CN"/>
              </w:rPr>
              <w:t>分。</w:t>
            </w:r>
          </w:p>
        </w:tc>
      </w:tr>
      <w:tr w14:paraId="45CF5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5"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27AC3D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1.4</w:t>
            </w:r>
          </w:p>
          <w:p w14:paraId="0F258D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放射诊疗</w:t>
            </w:r>
          </w:p>
        </w:tc>
        <w:tc>
          <w:tcPr>
            <w:tcW w:w="5556" w:type="dxa"/>
            <w:tcBorders>
              <w:top w:val="single" w:color="auto" w:sz="4" w:space="0"/>
              <w:left w:val="single" w:color="auto" w:sz="4" w:space="0"/>
              <w:bottom w:val="single" w:color="auto" w:sz="4" w:space="0"/>
              <w:right w:val="single" w:color="auto" w:sz="4" w:space="0"/>
            </w:tcBorders>
            <w:shd w:val="clear" w:color="auto" w:fill="auto"/>
            <w:vAlign w:val="center"/>
          </w:tcPr>
          <w:p w14:paraId="176E0D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有放射诊疗设备的机构须有放射诊疗许可证、放射设备的质量检测报告和放射防护检测报告，并</w:t>
            </w:r>
            <w:r>
              <w:rPr>
                <w:rFonts w:hint="eastAsia" w:ascii="宋体" w:hAnsi="宋体" w:cs="宋体"/>
                <w:i w:val="0"/>
                <w:iCs w:val="0"/>
                <w:color w:val="auto"/>
                <w:sz w:val="18"/>
                <w:szCs w:val="18"/>
                <w:highlight w:val="none"/>
                <w:u w:val="none"/>
                <w:lang w:eastAsia="zh-CN"/>
              </w:rPr>
              <w:t>按规定如期</w:t>
            </w:r>
            <w:r>
              <w:rPr>
                <w:rFonts w:hint="eastAsia" w:ascii="宋体" w:hAnsi="宋体" w:eastAsia="宋体" w:cs="宋体"/>
                <w:i w:val="0"/>
                <w:iCs w:val="0"/>
                <w:color w:val="auto"/>
                <w:sz w:val="18"/>
                <w:szCs w:val="18"/>
                <w:highlight w:val="none"/>
                <w:u w:val="none"/>
              </w:rPr>
              <w:t>进行年度校验。</w:t>
            </w:r>
          </w:p>
          <w:p w14:paraId="5A25B91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执业证设置有医学影像科但无放射诊疗设备的机构，须有与第三方有资质机构合作签订相关服务协议且到行政办事窗口进行变更备注。</w:t>
            </w:r>
          </w:p>
          <w:p w14:paraId="40FB5FE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放射设备操作人员应有放射人员</w:t>
            </w:r>
            <w:r>
              <w:rPr>
                <w:rFonts w:hint="eastAsia" w:ascii="宋体" w:hAnsi="宋体" w:eastAsia="宋体" w:cs="宋体"/>
                <w:i w:val="0"/>
                <w:iCs w:val="0"/>
                <w:color w:val="auto"/>
                <w:sz w:val="18"/>
                <w:szCs w:val="18"/>
                <w:highlight w:val="none"/>
                <w:u w:val="none"/>
                <w:lang w:val="en-US" w:eastAsia="zh-CN"/>
              </w:rPr>
              <w:t>培训</w:t>
            </w:r>
            <w:r>
              <w:rPr>
                <w:rFonts w:hint="eastAsia" w:ascii="宋体" w:hAnsi="宋体" w:eastAsia="宋体" w:cs="宋体"/>
                <w:i w:val="0"/>
                <w:iCs w:val="0"/>
                <w:color w:val="auto"/>
                <w:sz w:val="18"/>
                <w:szCs w:val="18"/>
                <w:highlight w:val="none"/>
                <w:u w:val="none"/>
              </w:rPr>
              <w:t>证</w:t>
            </w:r>
            <w:r>
              <w:rPr>
                <w:rFonts w:hint="eastAsia" w:ascii="宋体" w:hAnsi="宋体" w:eastAsia="宋体" w:cs="宋体"/>
                <w:i w:val="0"/>
                <w:iCs w:val="0"/>
                <w:color w:val="auto"/>
                <w:sz w:val="18"/>
                <w:szCs w:val="18"/>
                <w:highlight w:val="none"/>
                <w:u w:val="none"/>
                <w:lang w:val="en-US" w:eastAsia="zh-CN"/>
              </w:rPr>
              <w:t>明、</w:t>
            </w:r>
            <w:r>
              <w:rPr>
                <w:rFonts w:hint="eastAsia" w:ascii="宋体" w:hAnsi="宋体" w:eastAsia="宋体" w:cs="宋体"/>
                <w:i w:val="0"/>
                <w:iCs w:val="0"/>
                <w:color w:val="auto"/>
                <w:sz w:val="18"/>
                <w:szCs w:val="18"/>
                <w:highlight w:val="none"/>
                <w:u w:val="none"/>
              </w:rPr>
              <w:t>个人剂量报告</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取得</w:t>
            </w:r>
            <w:r>
              <w:rPr>
                <w:rFonts w:hint="eastAsia" w:ascii="宋体" w:hAnsi="宋体" w:eastAsia="宋体" w:cs="宋体"/>
                <w:i w:val="0"/>
                <w:iCs w:val="0"/>
                <w:color w:val="auto"/>
                <w:sz w:val="18"/>
                <w:szCs w:val="18"/>
                <w:highlight w:val="none"/>
                <w:u w:val="none"/>
                <w:lang w:val="en-US" w:eastAsia="zh-CN"/>
              </w:rPr>
              <w:t>放射人员工作证</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按规定进行职业体检</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有操作流程</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制度、警示标</w:t>
            </w:r>
            <w:r>
              <w:rPr>
                <w:rFonts w:hint="eastAsia" w:ascii="宋体" w:hAnsi="宋体" w:cs="宋体"/>
                <w:i w:val="0"/>
                <w:iCs w:val="0"/>
                <w:color w:val="auto"/>
                <w:sz w:val="18"/>
                <w:szCs w:val="18"/>
                <w:highlight w:val="none"/>
                <w:u w:val="none"/>
                <w:lang w:val="en-US" w:eastAsia="zh-CN"/>
              </w:rPr>
              <w:t>识</w:t>
            </w:r>
            <w:r>
              <w:rPr>
                <w:rFonts w:hint="eastAsia" w:ascii="宋体" w:hAnsi="宋体" w:eastAsia="宋体" w:cs="宋体"/>
                <w:i w:val="0"/>
                <w:iCs w:val="0"/>
                <w:color w:val="auto"/>
                <w:sz w:val="18"/>
                <w:szCs w:val="18"/>
                <w:highlight w:val="none"/>
                <w:u w:val="none"/>
              </w:rPr>
              <w:t>、应急预案。</w:t>
            </w:r>
          </w:p>
          <w:p w14:paraId="7BE7167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p>
        </w:tc>
        <w:tc>
          <w:tcPr>
            <w:tcW w:w="624" w:type="dxa"/>
            <w:tcBorders>
              <w:top w:val="single" w:color="auto" w:sz="4" w:space="0"/>
              <w:left w:val="single" w:color="auto" w:sz="4" w:space="0"/>
              <w:bottom w:val="single" w:color="auto" w:sz="4" w:space="0"/>
              <w:right w:val="single" w:color="auto" w:sz="4" w:space="0"/>
            </w:tcBorders>
            <w:shd w:val="clear" w:color="auto" w:fill="auto"/>
            <w:vAlign w:val="center"/>
          </w:tcPr>
          <w:p w14:paraId="67D9F5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rPr>
              <w:t>2</w:t>
            </w:r>
          </w:p>
        </w:tc>
        <w:tc>
          <w:tcPr>
            <w:tcW w:w="3628" w:type="dxa"/>
            <w:tcBorders>
              <w:top w:val="single" w:color="auto" w:sz="4" w:space="0"/>
              <w:left w:val="single" w:color="auto" w:sz="4" w:space="0"/>
              <w:bottom w:val="single" w:color="auto" w:sz="4" w:space="0"/>
              <w:right w:val="single" w:color="auto" w:sz="4" w:space="0"/>
            </w:tcBorders>
            <w:shd w:val="clear" w:color="auto" w:fill="auto"/>
            <w:vAlign w:val="center"/>
          </w:tcPr>
          <w:p w14:paraId="49384D6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val="en-US" w:eastAsia="zh-CN"/>
              </w:rPr>
              <w:t>实地考察、</w:t>
            </w:r>
            <w:r>
              <w:rPr>
                <w:rFonts w:hint="eastAsia" w:ascii="宋体" w:hAnsi="宋体" w:eastAsia="宋体" w:cs="宋体"/>
                <w:i w:val="0"/>
                <w:iCs w:val="0"/>
                <w:color w:val="auto"/>
                <w:sz w:val="18"/>
                <w:szCs w:val="18"/>
                <w:highlight w:val="none"/>
                <w:u w:val="none"/>
              </w:rPr>
              <w:t>查看原件</w:t>
            </w:r>
            <w:r>
              <w:rPr>
                <w:rFonts w:hint="eastAsia" w:ascii="宋体" w:hAnsi="宋体" w:eastAsia="宋体" w:cs="宋体"/>
                <w:i w:val="0"/>
                <w:iCs w:val="0"/>
                <w:color w:val="auto"/>
                <w:sz w:val="18"/>
                <w:szCs w:val="18"/>
                <w:highlight w:val="none"/>
                <w:u w:val="none"/>
                <w:lang w:eastAsia="zh-CN"/>
              </w:rPr>
              <w:t>。</w:t>
            </w:r>
          </w:p>
          <w:p w14:paraId="4F4455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（1）有设施（牙片机、全景机或CT）</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w:t>
            </w:r>
            <w:r>
              <w:rPr>
                <w:rFonts w:hint="default"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有许可证</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w:t>
            </w:r>
            <w:r>
              <w:rPr>
                <w:rFonts w:hint="default"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如</w:t>
            </w:r>
            <w:r>
              <w:rPr>
                <w:rFonts w:hint="eastAsia" w:ascii="宋体" w:hAnsi="宋体" w:eastAsia="宋体" w:cs="宋体"/>
                <w:i w:val="0"/>
                <w:iCs w:val="0"/>
                <w:color w:val="auto"/>
                <w:sz w:val="18"/>
                <w:szCs w:val="18"/>
                <w:highlight w:val="none"/>
                <w:u w:val="none"/>
              </w:rPr>
              <w:t>无每年的校验记录</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此项不得分</w:t>
            </w:r>
            <w:r>
              <w:rPr>
                <w:rFonts w:hint="eastAsia" w:ascii="宋体" w:hAnsi="宋体" w:eastAsia="宋体" w:cs="宋体"/>
                <w:i w:val="0"/>
                <w:iCs w:val="0"/>
                <w:color w:val="auto"/>
                <w:sz w:val="18"/>
                <w:szCs w:val="18"/>
                <w:highlight w:val="none"/>
                <w:u w:val="none"/>
                <w:lang w:eastAsia="zh-CN"/>
              </w:rPr>
              <w:t>。</w:t>
            </w:r>
          </w:p>
          <w:p w14:paraId="128383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（2）设置有医学影像科的机构有与第三方有资质机构签订相关合作协议且到窗口进行变更备注，</w:t>
            </w:r>
            <w:r>
              <w:rPr>
                <w:rFonts w:hint="eastAsia" w:ascii="宋体" w:hAnsi="宋体" w:cs="宋体"/>
                <w:i w:val="0"/>
                <w:iCs w:val="0"/>
                <w:color w:val="auto"/>
                <w:sz w:val="18"/>
                <w:szCs w:val="18"/>
                <w:highlight w:val="none"/>
                <w:u w:val="none"/>
                <w:lang w:val="en-US" w:eastAsia="zh-CN"/>
              </w:rPr>
              <w:t>能提供</w:t>
            </w:r>
            <w:r>
              <w:rPr>
                <w:rFonts w:hint="eastAsia" w:ascii="宋体" w:hAnsi="宋体" w:cs="宋体"/>
                <w:i w:val="0"/>
                <w:iCs w:val="0"/>
                <w:caps w:val="0"/>
                <w:color w:val="auto"/>
                <w:spacing w:val="0"/>
                <w:sz w:val="18"/>
                <w:szCs w:val="18"/>
                <w:highlight w:val="none"/>
                <w:u w:val="none"/>
                <w:shd w:val="clear"/>
                <w:lang w:val="en-US" w:eastAsia="zh-CN"/>
              </w:rPr>
              <w:t>第三方资质</w:t>
            </w:r>
            <w:r>
              <w:rPr>
                <w:rFonts w:hint="eastAsia" w:ascii="宋体" w:hAnsi="宋体" w:eastAsia="宋体" w:cs="宋体"/>
                <w:i w:val="0"/>
                <w:iCs w:val="0"/>
                <w:caps w:val="0"/>
                <w:color w:val="auto"/>
                <w:spacing w:val="0"/>
                <w:sz w:val="18"/>
                <w:szCs w:val="18"/>
                <w:highlight w:val="none"/>
                <w:u w:val="none"/>
                <w:shd w:val="clear"/>
              </w:rPr>
              <w:t>（如许可证有效期）</w:t>
            </w:r>
            <w:r>
              <w:rPr>
                <w:rFonts w:hint="eastAsia" w:ascii="宋体" w:hAnsi="宋体" w:cs="宋体"/>
                <w:i w:val="0"/>
                <w:iCs w:val="0"/>
                <w:caps w:val="0"/>
                <w:color w:val="auto"/>
                <w:spacing w:val="0"/>
                <w:sz w:val="18"/>
                <w:szCs w:val="18"/>
                <w:highlight w:val="none"/>
                <w:u w:val="none"/>
                <w:shd w:val="clear"/>
                <w:lang w:eastAsia="zh-CN"/>
              </w:rPr>
              <w:t>、</w:t>
            </w:r>
            <w:r>
              <w:rPr>
                <w:rFonts w:hint="eastAsia" w:ascii="宋体" w:hAnsi="宋体" w:eastAsia="宋体" w:cs="宋体"/>
                <w:i w:val="0"/>
                <w:iCs w:val="0"/>
                <w:caps w:val="0"/>
                <w:color w:val="auto"/>
                <w:spacing w:val="0"/>
                <w:sz w:val="18"/>
                <w:szCs w:val="18"/>
                <w:highlight w:val="none"/>
                <w:u w:val="none"/>
                <w:shd w:val="clear"/>
              </w:rPr>
              <w:t>质控</w:t>
            </w:r>
            <w:r>
              <w:rPr>
                <w:rFonts w:hint="eastAsia" w:ascii="宋体" w:hAnsi="宋体" w:cs="宋体"/>
                <w:i w:val="0"/>
                <w:iCs w:val="0"/>
                <w:caps w:val="0"/>
                <w:color w:val="auto"/>
                <w:spacing w:val="0"/>
                <w:sz w:val="18"/>
                <w:szCs w:val="18"/>
                <w:highlight w:val="none"/>
                <w:u w:val="none"/>
                <w:shd w:val="clear"/>
                <w:lang w:val="en-US" w:eastAsia="zh-CN"/>
              </w:rPr>
              <w:t>记录（</w:t>
            </w:r>
            <w:r>
              <w:rPr>
                <w:rFonts w:hint="eastAsia" w:ascii="宋体" w:hAnsi="宋体" w:eastAsia="宋体" w:cs="宋体"/>
                <w:i w:val="0"/>
                <w:iCs w:val="0"/>
                <w:caps w:val="0"/>
                <w:color w:val="auto"/>
                <w:spacing w:val="0"/>
                <w:sz w:val="18"/>
                <w:szCs w:val="18"/>
                <w:highlight w:val="none"/>
                <w:u w:val="none"/>
                <w:shd w:val="clear"/>
              </w:rPr>
              <w:t>如室间质评结果</w:t>
            </w:r>
            <w:r>
              <w:rPr>
                <w:rFonts w:hint="eastAsia" w:ascii="宋体" w:hAnsi="宋体" w:eastAsia="宋体" w:cs="宋体"/>
                <w:i w:val="0"/>
                <w:iCs w:val="0"/>
                <w:caps w:val="0"/>
                <w:color w:val="auto"/>
                <w:spacing w:val="0"/>
                <w:sz w:val="18"/>
                <w:szCs w:val="18"/>
                <w:highlight w:val="none"/>
                <w:u w:val="none"/>
                <w:shd w:val="clear"/>
                <w:lang w:eastAsia="zh-CN"/>
              </w:rPr>
              <w:t>）</w:t>
            </w:r>
            <w:r>
              <w:rPr>
                <w:rFonts w:hint="eastAsia" w:ascii="宋体" w:hAnsi="宋体" w:cs="宋体"/>
                <w:i w:val="0"/>
                <w:iCs w:val="0"/>
                <w:caps w:val="0"/>
                <w:color w:val="auto"/>
                <w:spacing w:val="0"/>
                <w:sz w:val="18"/>
                <w:szCs w:val="18"/>
                <w:highlight w:val="none"/>
                <w:u w:val="none"/>
                <w:shd w:val="clear"/>
                <w:lang w:val="en-US" w:eastAsia="zh-CN"/>
              </w:rPr>
              <w:t>核查</w:t>
            </w:r>
            <w:r>
              <w:rPr>
                <w:rFonts w:hint="eastAsia" w:ascii="宋体" w:hAnsi="宋体" w:eastAsia="宋体" w:cs="宋体"/>
                <w:i w:val="0"/>
                <w:iCs w:val="0"/>
                <w:color w:val="auto"/>
                <w:sz w:val="18"/>
                <w:szCs w:val="18"/>
                <w:highlight w:val="none"/>
                <w:u w:val="none"/>
              </w:rPr>
              <w:t>。此项得</w:t>
            </w:r>
            <w:r>
              <w:rPr>
                <w:rFonts w:hint="default"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分；设置有医学影像科，但无放射诊疗设施，无第三方协议</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此项不得分；未设置</w:t>
            </w:r>
            <w:r>
              <w:rPr>
                <w:rFonts w:hint="eastAsia" w:ascii="宋体" w:hAnsi="宋体" w:cs="宋体"/>
                <w:i w:val="0"/>
                <w:iCs w:val="0"/>
                <w:color w:val="auto"/>
                <w:sz w:val="18"/>
                <w:szCs w:val="18"/>
                <w:highlight w:val="none"/>
                <w:u w:val="none"/>
                <w:lang w:eastAsia="zh-CN"/>
              </w:rPr>
              <w:t>此项</w:t>
            </w:r>
            <w:r>
              <w:rPr>
                <w:rFonts w:hint="eastAsia" w:ascii="宋体" w:hAnsi="宋体" w:eastAsia="宋体" w:cs="宋体"/>
                <w:i w:val="0"/>
                <w:iCs w:val="0"/>
                <w:color w:val="auto"/>
                <w:sz w:val="18"/>
                <w:szCs w:val="18"/>
                <w:highlight w:val="none"/>
                <w:u w:val="none"/>
              </w:rPr>
              <w:t>目</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不扣分。</w:t>
            </w:r>
          </w:p>
          <w:p w14:paraId="0B824A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放射设备操作人员</w:t>
            </w:r>
            <w:r>
              <w:rPr>
                <w:rFonts w:hint="eastAsia" w:ascii="宋体" w:hAnsi="宋体" w:eastAsia="宋体" w:cs="宋体"/>
                <w:i w:val="0"/>
                <w:iCs w:val="0"/>
                <w:color w:val="auto"/>
                <w:sz w:val="18"/>
                <w:szCs w:val="18"/>
                <w:highlight w:val="none"/>
                <w:u w:val="none"/>
                <w:lang w:val="en-US" w:eastAsia="zh-CN"/>
              </w:rPr>
              <w:t>相关资质不齐全，扣</w:t>
            </w:r>
            <w:r>
              <w:rPr>
                <w:rFonts w:hint="default"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分；无</w:t>
            </w:r>
            <w:r>
              <w:rPr>
                <w:rFonts w:hint="eastAsia" w:ascii="宋体" w:hAnsi="宋体" w:eastAsia="宋体" w:cs="宋体"/>
                <w:i w:val="0"/>
                <w:iCs w:val="0"/>
                <w:color w:val="auto"/>
                <w:sz w:val="18"/>
                <w:szCs w:val="18"/>
                <w:highlight w:val="none"/>
                <w:u w:val="none"/>
              </w:rPr>
              <w:t>操作流程</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制度、警示</w:t>
            </w:r>
            <w:r>
              <w:rPr>
                <w:rFonts w:hint="eastAsia" w:ascii="宋体" w:hAnsi="宋体" w:cs="宋体"/>
                <w:i w:val="0"/>
                <w:iCs w:val="0"/>
                <w:color w:val="auto"/>
                <w:sz w:val="18"/>
                <w:szCs w:val="18"/>
                <w:highlight w:val="none"/>
                <w:u w:val="none"/>
                <w:lang w:eastAsia="zh-CN"/>
              </w:rPr>
              <w:t>标识</w:t>
            </w:r>
            <w:r>
              <w:rPr>
                <w:rFonts w:hint="eastAsia" w:ascii="宋体" w:hAnsi="宋体" w:eastAsia="宋体" w:cs="宋体"/>
                <w:i w:val="0"/>
                <w:iCs w:val="0"/>
                <w:color w:val="auto"/>
                <w:sz w:val="18"/>
                <w:szCs w:val="18"/>
                <w:highlight w:val="none"/>
                <w:u w:val="none"/>
              </w:rPr>
              <w:t>、应急预案</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扣</w:t>
            </w:r>
            <w:r>
              <w:rPr>
                <w:rFonts w:hint="default"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p>
          <w:p w14:paraId="5478EA9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（4）现场查看放射防护用品，如未配备或不齐</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eastAsia="zh-CN"/>
              </w:rPr>
              <w:t>。</w:t>
            </w:r>
          </w:p>
          <w:p w14:paraId="427A356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（5）影像资料未保存</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tc>
      </w:tr>
    </w:tbl>
    <w:p w14:paraId="35998693">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14:paraId="786DC0F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t>2.遵纪守法（</w:t>
      </w:r>
      <w:r>
        <w:rPr>
          <w:rFonts w:hint="eastAsia" w:ascii="宋体" w:hAnsi="宋体" w:cs="宋体"/>
          <w:b w:val="0"/>
          <w:bCs/>
          <w:color w:val="auto"/>
          <w:sz w:val="32"/>
          <w:szCs w:val="32"/>
          <w:highlight w:val="none"/>
          <w:lang w:val="en-US" w:eastAsia="zh-CN"/>
        </w:rPr>
        <w:t>10</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7751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06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5D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6A7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24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14:paraId="5B17D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5" w:hRule="atLeast"/>
        </w:trPr>
        <w:tc>
          <w:tcPr>
            <w:tcW w:w="1134" w:type="dxa"/>
            <w:tcBorders>
              <w:top w:val="single" w:color="000000" w:sz="4" w:space="0"/>
              <w:left w:val="single" w:color="000000" w:sz="4" w:space="0"/>
              <w:right w:val="single" w:color="000000" w:sz="4" w:space="0"/>
            </w:tcBorders>
            <w:shd w:val="clear" w:color="auto" w:fill="auto"/>
            <w:vAlign w:val="center"/>
          </w:tcPr>
          <w:p w14:paraId="0884AFE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1</w:t>
            </w:r>
          </w:p>
          <w:p w14:paraId="2C7428A2">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规范执业</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634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严格按照医疗卫生法律、法规、规章及诊疗规范执业，</w:t>
            </w:r>
            <w:r>
              <w:rPr>
                <w:rFonts w:hint="eastAsia" w:ascii="宋体" w:hAnsi="宋体" w:eastAsia="宋体" w:cs="宋体"/>
                <w:i w:val="0"/>
                <w:iCs w:val="0"/>
                <w:color w:val="auto"/>
                <w:sz w:val="18"/>
                <w:szCs w:val="18"/>
                <w:highlight w:val="none"/>
                <w:u w:val="none"/>
                <w:lang w:val="en-US" w:eastAsia="zh-CN"/>
              </w:rPr>
              <w:t>评估</w:t>
            </w:r>
            <w:r>
              <w:rPr>
                <w:rFonts w:hint="eastAsia" w:ascii="宋体" w:hAnsi="宋体" w:eastAsia="宋体" w:cs="宋体"/>
                <w:i w:val="0"/>
                <w:iCs w:val="0"/>
                <w:color w:val="auto"/>
                <w:sz w:val="18"/>
                <w:szCs w:val="18"/>
                <w:highlight w:val="none"/>
                <w:u w:val="none"/>
              </w:rPr>
              <w:t>周期内未被卫生行政处罚或不良记分。（年度不良记分分值小于6分）</w:t>
            </w:r>
          </w:p>
        </w:tc>
        <w:tc>
          <w:tcPr>
            <w:tcW w:w="624" w:type="dxa"/>
            <w:tcBorders>
              <w:top w:val="single" w:color="000000" w:sz="4" w:space="0"/>
              <w:left w:val="single" w:color="000000" w:sz="4" w:space="0"/>
              <w:right w:val="single" w:color="000000" w:sz="4" w:space="0"/>
            </w:tcBorders>
            <w:shd w:val="clear" w:color="auto" w:fill="auto"/>
            <w:vAlign w:val="center"/>
          </w:tcPr>
          <w:p w14:paraId="76DAF0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B60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查看</w:t>
            </w:r>
            <w:r>
              <w:rPr>
                <w:rFonts w:hint="eastAsia" w:ascii="宋体" w:hAnsi="宋体" w:eastAsia="宋体" w:cs="宋体"/>
                <w:i w:val="0"/>
                <w:iCs w:val="0"/>
                <w:color w:val="auto"/>
                <w:sz w:val="18"/>
                <w:szCs w:val="18"/>
                <w:highlight w:val="none"/>
                <w:u w:val="none"/>
              </w:rPr>
              <w:t>卫生行政部门</w:t>
            </w:r>
            <w:r>
              <w:rPr>
                <w:rFonts w:hint="eastAsia" w:ascii="宋体" w:hAnsi="宋体" w:eastAsia="宋体" w:cs="宋体"/>
                <w:i w:val="0"/>
                <w:iCs w:val="0"/>
                <w:color w:val="auto"/>
                <w:sz w:val="18"/>
                <w:szCs w:val="18"/>
                <w:highlight w:val="none"/>
                <w:u w:val="none"/>
                <w:lang w:val="en-US" w:eastAsia="zh-CN"/>
              </w:rPr>
              <w:t>评估周期内</w:t>
            </w:r>
            <w:r>
              <w:rPr>
                <w:rFonts w:hint="eastAsia" w:ascii="宋体" w:hAnsi="宋体" w:eastAsia="宋体" w:cs="宋体"/>
                <w:i w:val="0"/>
                <w:iCs w:val="0"/>
                <w:color w:val="auto"/>
                <w:sz w:val="18"/>
                <w:szCs w:val="18"/>
                <w:highlight w:val="none"/>
                <w:u w:val="none"/>
              </w:rPr>
              <w:t>扣分情况。</w:t>
            </w:r>
            <w:r>
              <w:rPr>
                <w:rFonts w:hint="eastAsia" w:ascii="宋体" w:hAnsi="宋体" w:eastAsia="宋体" w:cs="宋体"/>
                <w:i w:val="0"/>
                <w:iCs w:val="0"/>
                <w:color w:val="auto"/>
                <w:sz w:val="18"/>
                <w:szCs w:val="18"/>
                <w:highlight w:val="none"/>
                <w:u w:val="none"/>
              </w:rPr>
              <w:br w:type="textWrapping"/>
            </w: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被行政处罚或不良记分达6分以上，此项不得分。</w:t>
            </w:r>
            <w:r>
              <w:rPr>
                <w:rFonts w:hint="eastAsia" w:ascii="宋体" w:hAnsi="宋体" w:eastAsia="宋体" w:cs="宋体"/>
                <w:i w:val="0"/>
                <w:iCs w:val="0"/>
                <w:color w:val="auto"/>
                <w:sz w:val="18"/>
                <w:szCs w:val="18"/>
                <w:highlight w:val="none"/>
                <w:u w:val="none"/>
              </w:rPr>
              <w:br w:type="textWrapping"/>
            </w: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不良记分达4分，此项扣2分。</w:t>
            </w:r>
            <w:r>
              <w:rPr>
                <w:rFonts w:hint="eastAsia" w:ascii="宋体" w:hAnsi="宋体" w:eastAsia="宋体" w:cs="宋体"/>
                <w:i w:val="0"/>
                <w:iCs w:val="0"/>
                <w:color w:val="auto"/>
                <w:sz w:val="18"/>
                <w:szCs w:val="18"/>
                <w:highlight w:val="none"/>
                <w:u w:val="none"/>
              </w:rPr>
              <w:br w:type="textWrapping"/>
            </w:r>
            <w:r>
              <w:rPr>
                <w:rFonts w:hint="eastAsia" w:ascii="宋体" w:hAnsi="宋体" w:eastAsia="宋体" w:cs="宋体"/>
                <w:i w:val="0"/>
                <w:iCs w:val="0"/>
                <w:color w:val="auto"/>
                <w:sz w:val="18"/>
                <w:szCs w:val="18"/>
                <w:highlight w:val="none"/>
                <w:u w:val="none"/>
                <w:lang w:eastAsia="zh-CN"/>
              </w:rPr>
              <w:t>（3）</w:t>
            </w:r>
            <w:r>
              <w:rPr>
                <w:rFonts w:hint="eastAsia" w:ascii="宋体" w:hAnsi="宋体" w:eastAsia="宋体" w:cs="宋体"/>
                <w:i w:val="0"/>
                <w:iCs w:val="0"/>
                <w:color w:val="auto"/>
                <w:sz w:val="18"/>
                <w:szCs w:val="18"/>
                <w:highlight w:val="none"/>
                <w:u w:val="none"/>
              </w:rPr>
              <w:t>不良记分达2分，此项扣1分。</w:t>
            </w:r>
          </w:p>
        </w:tc>
      </w:tr>
      <w:tr w14:paraId="6D8A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266" w:hRule="atLeast"/>
        </w:trPr>
        <w:tc>
          <w:tcPr>
            <w:tcW w:w="1134" w:type="dxa"/>
            <w:tcBorders>
              <w:top w:val="single" w:color="000000" w:sz="4" w:space="0"/>
              <w:left w:val="single" w:color="000000" w:sz="4" w:space="0"/>
              <w:right w:val="single" w:color="000000" w:sz="4" w:space="0"/>
            </w:tcBorders>
            <w:shd w:val="clear" w:color="auto" w:fill="auto"/>
            <w:vAlign w:val="center"/>
          </w:tcPr>
          <w:p w14:paraId="723AFC5B">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2</w:t>
            </w:r>
          </w:p>
          <w:p w14:paraId="67DF63A8">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投诉处理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8FFC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cs="宋体"/>
                <w:i w:val="0"/>
                <w:iCs w:val="0"/>
                <w:color w:val="auto"/>
                <w:sz w:val="18"/>
                <w:szCs w:val="18"/>
                <w:highlight w:val="none"/>
                <w:u w:val="none"/>
                <w:lang w:val="en-US" w:eastAsia="zh-CN"/>
              </w:rPr>
              <w:t>公布投诉电话或信箱/邮箱，及时受理、妥善处置服务对象投诉，自觉接受社会监督</w:t>
            </w:r>
            <w:r>
              <w:rPr>
                <w:rFonts w:hint="eastAsia" w:ascii="宋体" w:hAnsi="宋体" w:eastAsia="宋体" w:cs="宋体"/>
                <w:i w:val="0"/>
                <w:iCs w:val="0"/>
                <w:color w:val="auto"/>
                <w:sz w:val="18"/>
                <w:szCs w:val="18"/>
                <w:highlight w:val="none"/>
                <w:u w:val="none"/>
                <w:lang w:val="en-US" w:eastAsia="zh-CN"/>
              </w:rPr>
              <w:t>。</w:t>
            </w:r>
          </w:p>
          <w:p w14:paraId="5E6279C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（2）建立完善医患沟通制度。制定医患沟通工作制度，增强沟通意识。</w:t>
            </w:r>
          </w:p>
        </w:tc>
        <w:tc>
          <w:tcPr>
            <w:tcW w:w="624" w:type="dxa"/>
            <w:tcBorders>
              <w:top w:val="single" w:color="000000" w:sz="4" w:space="0"/>
              <w:left w:val="single" w:color="000000" w:sz="4" w:space="0"/>
              <w:right w:val="single" w:color="000000" w:sz="4" w:space="0"/>
            </w:tcBorders>
            <w:shd w:val="clear" w:color="auto" w:fill="auto"/>
            <w:vAlign w:val="center"/>
          </w:tcPr>
          <w:p w14:paraId="088730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56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eastAsia="宋体" w:cs="宋体"/>
                <w:i w:val="0"/>
                <w:iCs w:val="0"/>
                <w:color w:val="auto"/>
                <w:sz w:val="18"/>
                <w:szCs w:val="18"/>
                <w:highlight w:val="none"/>
                <w:u w:val="none"/>
                <w:lang w:eastAsia="zh-CN"/>
              </w:rPr>
              <w:t>。</w:t>
            </w:r>
          </w:p>
          <w:p w14:paraId="128A50D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查阅服务对象投诉处理制度，有投诉处理机制和具体操作措施</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r>
              <w:rPr>
                <w:rFonts w:hint="eastAsia" w:ascii="宋体" w:hAnsi="宋体" w:eastAsia="宋体" w:cs="宋体"/>
                <w:i w:val="0"/>
                <w:iCs w:val="0"/>
                <w:color w:val="auto"/>
                <w:sz w:val="18"/>
                <w:szCs w:val="18"/>
                <w:highlight w:val="none"/>
                <w:u w:val="none"/>
                <w:lang w:val="en-US" w:eastAsia="zh-CN"/>
              </w:rPr>
              <w:t>。</w:t>
            </w:r>
          </w:p>
          <w:p w14:paraId="24D1EC8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查阅医患沟通工作制度主动定期征求病人意见，有措施、有记录并及时改进</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p>
        </w:tc>
      </w:tr>
      <w:tr w14:paraId="7DF16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7" w:hRule="atLeast"/>
        </w:trPr>
        <w:tc>
          <w:tcPr>
            <w:tcW w:w="1134" w:type="dxa"/>
            <w:tcBorders>
              <w:top w:val="single" w:color="000000" w:sz="4" w:space="0"/>
              <w:left w:val="single" w:color="000000" w:sz="4" w:space="0"/>
              <w:right w:val="single" w:color="000000" w:sz="4" w:space="0"/>
            </w:tcBorders>
            <w:shd w:val="clear" w:color="auto" w:fill="auto"/>
            <w:vAlign w:val="center"/>
          </w:tcPr>
          <w:p w14:paraId="66B0A2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3</w:t>
            </w:r>
          </w:p>
          <w:p w14:paraId="61C286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劳动关系</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7D7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与员工签订劳动合同，并履行合同义务。</w:t>
            </w:r>
          </w:p>
          <w:p w14:paraId="263A5B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为员工购买相关的福利项目</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缴纳</w:t>
            </w:r>
            <w:r>
              <w:rPr>
                <w:rFonts w:hint="eastAsia" w:ascii="宋体" w:hAnsi="宋体" w:eastAsia="宋体" w:cs="宋体"/>
                <w:i w:val="0"/>
                <w:iCs w:val="0"/>
                <w:color w:val="auto"/>
                <w:sz w:val="18"/>
                <w:szCs w:val="18"/>
                <w:highlight w:val="none"/>
                <w:u w:val="none"/>
              </w:rPr>
              <w:t>五险一金。</w:t>
            </w:r>
          </w:p>
        </w:tc>
        <w:tc>
          <w:tcPr>
            <w:tcW w:w="624" w:type="dxa"/>
            <w:tcBorders>
              <w:top w:val="single" w:color="000000" w:sz="4" w:space="0"/>
              <w:left w:val="single" w:color="000000" w:sz="4" w:space="0"/>
              <w:right w:val="single" w:color="000000" w:sz="4" w:space="0"/>
            </w:tcBorders>
            <w:shd w:val="clear" w:color="auto" w:fill="auto"/>
            <w:vAlign w:val="center"/>
          </w:tcPr>
          <w:p w14:paraId="2453E6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28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eastAsia="宋体" w:cs="宋体"/>
                <w:i w:val="0"/>
                <w:iCs w:val="0"/>
                <w:color w:val="auto"/>
                <w:sz w:val="18"/>
                <w:szCs w:val="18"/>
                <w:highlight w:val="none"/>
                <w:u w:val="none"/>
                <w:lang w:eastAsia="zh-CN"/>
              </w:rPr>
              <w:t>。</w:t>
            </w:r>
          </w:p>
          <w:p w14:paraId="26A824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抽查2名工作人员的劳动合同、五险一金购买记录，如只购买五险无一金</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扣0.5分；未在本单位购买五险一金，</w:t>
            </w:r>
            <w:r>
              <w:rPr>
                <w:rFonts w:hint="eastAsia" w:ascii="宋体" w:hAnsi="宋体" w:eastAsia="宋体" w:cs="宋体"/>
                <w:i w:val="0"/>
                <w:iCs w:val="0"/>
                <w:color w:val="auto"/>
                <w:sz w:val="18"/>
                <w:szCs w:val="18"/>
                <w:highlight w:val="none"/>
                <w:u w:val="none"/>
                <w:lang w:val="en-US" w:eastAsia="zh-CN"/>
              </w:rPr>
              <w:t>此</w:t>
            </w:r>
            <w:r>
              <w:rPr>
                <w:rFonts w:hint="eastAsia" w:ascii="宋体" w:hAnsi="宋体" w:eastAsia="宋体" w:cs="宋体"/>
                <w:i w:val="0"/>
                <w:iCs w:val="0"/>
                <w:color w:val="auto"/>
                <w:sz w:val="18"/>
                <w:szCs w:val="18"/>
                <w:highlight w:val="none"/>
                <w:u w:val="none"/>
              </w:rPr>
              <w:t>项不得分。（特殊情况出示相关材料佐证）</w:t>
            </w:r>
          </w:p>
          <w:p w14:paraId="15BEA37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发现一名员工未签订劳动合同，</w:t>
            </w:r>
            <w:r>
              <w:rPr>
                <w:rFonts w:hint="eastAsia" w:ascii="宋体" w:hAnsi="宋体" w:eastAsia="宋体" w:cs="宋体"/>
                <w:i w:val="0"/>
                <w:iCs w:val="0"/>
                <w:color w:val="auto"/>
                <w:sz w:val="18"/>
                <w:szCs w:val="18"/>
                <w:highlight w:val="none"/>
                <w:u w:val="none"/>
                <w:lang w:val="en-US" w:eastAsia="zh-CN"/>
              </w:rPr>
              <w:t>此</w:t>
            </w:r>
            <w:r>
              <w:rPr>
                <w:rFonts w:hint="eastAsia" w:ascii="宋体" w:hAnsi="宋体" w:eastAsia="宋体" w:cs="宋体"/>
                <w:i w:val="0"/>
                <w:iCs w:val="0"/>
                <w:color w:val="auto"/>
                <w:sz w:val="18"/>
                <w:szCs w:val="18"/>
                <w:highlight w:val="none"/>
                <w:u w:val="none"/>
              </w:rPr>
              <w:t>项不得分。</w:t>
            </w:r>
          </w:p>
        </w:tc>
      </w:tr>
      <w:tr w14:paraId="71877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5"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83ED0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2</w:t>
            </w:r>
            <w:r>
              <w:rPr>
                <w:rFonts w:hint="eastAsia" w:ascii="宋体" w:hAnsi="宋体" w:eastAsia="宋体" w:cs="宋体"/>
                <w:i w:val="0"/>
                <w:iCs w:val="0"/>
                <w:color w:val="auto"/>
                <w:kern w:val="0"/>
                <w:sz w:val="18"/>
                <w:szCs w:val="18"/>
                <w:highlight w:val="none"/>
                <w:u w:val="none"/>
                <w:lang w:val="en-US" w:eastAsia="zh-CN"/>
              </w:rPr>
              <w:t>.</w:t>
            </w:r>
            <w:r>
              <w:rPr>
                <w:rFonts w:hint="eastAsia" w:ascii="宋体" w:hAnsi="宋体" w:cs="宋体"/>
                <w:i w:val="0"/>
                <w:iCs w:val="0"/>
                <w:color w:val="auto"/>
                <w:kern w:val="0"/>
                <w:sz w:val="18"/>
                <w:szCs w:val="18"/>
                <w:highlight w:val="none"/>
                <w:u w:val="none"/>
                <w:lang w:val="en-US" w:eastAsia="zh-CN"/>
              </w:rPr>
              <w:t>4</w:t>
            </w:r>
          </w:p>
          <w:p w14:paraId="29E671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Theme="minorEastAsia" w:hAnsiTheme="minorEastAsia" w:cstheme="minorEastAsia"/>
                <w:i w:val="0"/>
                <w:iCs w:val="0"/>
                <w:color w:val="auto"/>
                <w:sz w:val="18"/>
                <w:szCs w:val="18"/>
                <w:highlight w:val="none"/>
                <w:u w:val="none"/>
                <w:lang w:val="en-US" w:eastAsia="zh-CN"/>
              </w:rPr>
              <w:t>监管平台</w:t>
            </w:r>
          </w:p>
        </w:tc>
        <w:tc>
          <w:tcPr>
            <w:tcW w:w="5556" w:type="dxa"/>
            <w:tcBorders>
              <w:top w:val="single" w:color="auto" w:sz="4" w:space="0"/>
              <w:left w:val="single" w:color="auto" w:sz="4" w:space="0"/>
              <w:bottom w:val="single" w:color="auto" w:sz="4" w:space="0"/>
              <w:right w:val="single" w:color="auto" w:sz="4" w:space="0"/>
            </w:tcBorders>
            <w:shd w:val="clear" w:color="auto" w:fill="auto"/>
            <w:vAlign w:val="center"/>
          </w:tcPr>
          <w:p w14:paraId="4A09667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cstheme="minorEastAsia"/>
                <w:i w:val="0"/>
                <w:iCs w:val="0"/>
                <w:color w:val="auto"/>
                <w:sz w:val="18"/>
                <w:szCs w:val="18"/>
                <w:highlight w:val="none"/>
                <w:u w:val="none"/>
                <w:lang w:val="en-US" w:eastAsia="zh-CN"/>
              </w:rPr>
              <w:t>医疗机构必须具备门诊电子病历系统，机构诊疗信息需按要求上传至深圳医疗机构执业监管平台，指定专人负责。</w:t>
            </w:r>
          </w:p>
        </w:tc>
        <w:tc>
          <w:tcPr>
            <w:tcW w:w="624" w:type="dxa"/>
            <w:tcBorders>
              <w:top w:val="single" w:color="auto" w:sz="4" w:space="0"/>
              <w:left w:val="single" w:color="auto" w:sz="4" w:space="0"/>
              <w:bottom w:val="single" w:color="auto" w:sz="4" w:space="0"/>
              <w:right w:val="single" w:color="auto" w:sz="4" w:space="0"/>
            </w:tcBorders>
            <w:shd w:val="clear" w:color="auto" w:fill="auto"/>
            <w:vAlign w:val="center"/>
          </w:tcPr>
          <w:p w14:paraId="44E676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1</w:t>
            </w:r>
          </w:p>
        </w:tc>
        <w:tc>
          <w:tcPr>
            <w:tcW w:w="3628" w:type="dxa"/>
            <w:tcBorders>
              <w:top w:val="single" w:color="auto" w:sz="4" w:space="0"/>
              <w:left w:val="single" w:color="auto" w:sz="4" w:space="0"/>
              <w:bottom w:val="single" w:color="auto" w:sz="4" w:space="0"/>
              <w:right w:val="single" w:color="auto" w:sz="4" w:space="0"/>
            </w:tcBorders>
            <w:shd w:val="clear" w:color="auto" w:fill="auto"/>
            <w:vAlign w:val="center"/>
          </w:tcPr>
          <w:p w14:paraId="134D616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实地考察、查看原件。</w:t>
            </w:r>
          </w:p>
          <w:p w14:paraId="04AFF0A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一项不符合要求，该项不得分。</w:t>
            </w:r>
          </w:p>
        </w:tc>
      </w:tr>
      <w:tr w14:paraId="46ACB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0" w:hRule="atLeast"/>
        </w:trPr>
        <w:tc>
          <w:tcPr>
            <w:tcW w:w="1134" w:type="dxa"/>
            <w:tcBorders>
              <w:top w:val="single" w:color="auto" w:sz="4" w:space="0"/>
              <w:left w:val="single" w:color="000000" w:sz="4" w:space="0"/>
              <w:bottom w:val="single" w:color="auto" w:sz="4" w:space="0"/>
              <w:right w:val="single" w:color="000000" w:sz="4" w:space="0"/>
            </w:tcBorders>
            <w:shd w:val="clear" w:color="auto" w:fill="auto"/>
            <w:vAlign w:val="center"/>
          </w:tcPr>
          <w:p w14:paraId="1712B4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2</w:t>
            </w:r>
            <w:r>
              <w:rPr>
                <w:rFonts w:hint="eastAsia" w:ascii="宋体" w:hAnsi="宋体" w:eastAsia="宋体" w:cs="宋体"/>
                <w:i w:val="0"/>
                <w:iCs w:val="0"/>
                <w:color w:val="auto"/>
                <w:kern w:val="0"/>
                <w:sz w:val="18"/>
                <w:szCs w:val="18"/>
                <w:highlight w:val="none"/>
                <w:u w:val="none"/>
                <w:lang w:val="en-US" w:eastAsia="zh-CN"/>
              </w:rPr>
              <w:t>.</w:t>
            </w:r>
            <w:r>
              <w:rPr>
                <w:rFonts w:hint="eastAsia" w:ascii="宋体" w:hAnsi="宋体" w:cs="宋体"/>
                <w:i w:val="0"/>
                <w:iCs w:val="0"/>
                <w:color w:val="auto"/>
                <w:kern w:val="0"/>
                <w:sz w:val="18"/>
                <w:szCs w:val="18"/>
                <w:highlight w:val="none"/>
                <w:u w:val="none"/>
                <w:lang w:val="en-US" w:eastAsia="zh-CN"/>
              </w:rPr>
              <w:t>5</w:t>
            </w:r>
          </w:p>
          <w:p w14:paraId="5F7B17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数据报送</w:t>
            </w:r>
          </w:p>
        </w:tc>
        <w:tc>
          <w:tcPr>
            <w:tcW w:w="5556" w:type="dxa"/>
            <w:tcBorders>
              <w:top w:val="single" w:color="auto" w:sz="4" w:space="0"/>
              <w:left w:val="single" w:color="000000" w:sz="4" w:space="0"/>
              <w:bottom w:val="single" w:color="auto" w:sz="4" w:space="0"/>
              <w:right w:val="single" w:color="000000" w:sz="4" w:space="0"/>
            </w:tcBorders>
            <w:shd w:val="clear" w:color="auto" w:fill="auto"/>
            <w:vAlign w:val="center"/>
          </w:tcPr>
          <w:p w14:paraId="66A7D19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及时准确，认真上报相关系统要求数据：</w:t>
            </w:r>
          </w:p>
          <w:p w14:paraId="4E2AC5A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“深圳市卫生健康统计信息网络直报系统”的年报。</w:t>
            </w:r>
          </w:p>
          <w:p w14:paraId="469FC57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“深圳市卫生健康委员会人力综合业务平台”人员信息。</w:t>
            </w:r>
          </w:p>
        </w:tc>
        <w:tc>
          <w:tcPr>
            <w:tcW w:w="624" w:type="dxa"/>
            <w:tcBorders>
              <w:top w:val="single" w:color="auto" w:sz="4" w:space="0"/>
              <w:left w:val="single" w:color="000000" w:sz="4" w:space="0"/>
              <w:bottom w:val="single" w:color="auto" w:sz="4" w:space="0"/>
              <w:right w:val="single" w:color="000000" w:sz="4" w:space="0"/>
            </w:tcBorders>
            <w:shd w:val="clear" w:color="auto" w:fill="auto"/>
            <w:vAlign w:val="center"/>
          </w:tcPr>
          <w:p w14:paraId="7A6BAF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w:t>
            </w:r>
          </w:p>
        </w:tc>
        <w:tc>
          <w:tcPr>
            <w:tcW w:w="3628" w:type="dxa"/>
            <w:tcBorders>
              <w:top w:val="single" w:color="auto" w:sz="4" w:space="0"/>
              <w:left w:val="single" w:color="000000" w:sz="4" w:space="0"/>
              <w:bottom w:val="single" w:color="auto" w:sz="4" w:space="0"/>
              <w:right w:val="single" w:color="000000" w:sz="4" w:space="0"/>
            </w:tcBorders>
            <w:shd w:val="clear" w:color="auto" w:fill="auto"/>
            <w:vAlign w:val="center"/>
          </w:tcPr>
          <w:p w14:paraId="3F10EC9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卫生行政部门查阅记录。</w:t>
            </w:r>
          </w:p>
          <w:p w14:paraId="215A9D5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（1）网络直报系统年报：社会医疗机构需安排专人负责年报的填报工作。诊所需在下一年度的1月15日前，将报表发送行业协会指定邮箱。发现一次未按时申报的机构，</w:t>
            </w:r>
            <w:r>
              <w:rPr>
                <w:rFonts w:hint="eastAsia" w:ascii="宋体" w:hAnsi="宋体" w:eastAsia="宋体" w:cs="宋体"/>
                <w:i w:val="0"/>
                <w:iCs w:val="0"/>
                <w:color w:val="auto"/>
                <w:sz w:val="18"/>
                <w:szCs w:val="18"/>
                <w:highlight w:val="none"/>
                <w:u w:val="none"/>
                <w:lang w:val="en-US" w:eastAsia="zh-CN"/>
              </w:rPr>
              <w:t>此</w:t>
            </w:r>
            <w:r>
              <w:rPr>
                <w:rFonts w:hint="eastAsia" w:ascii="宋体" w:hAnsi="宋体" w:eastAsia="宋体" w:cs="宋体"/>
                <w:i w:val="0"/>
                <w:iCs w:val="0"/>
                <w:color w:val="auto"/>
                <w:sz w:val="18"/>
                <w:szCs w:val="18"/>
                <w:highlight w:val="none"/>
                <w:u w:val="none"/>
              </w:rPr>
              <w:t>项不得分。（门诊部查验：录入系统查</w:t>
            </w:r>
            <w:r>
              <w:rPr>
                <w:rFonts w:hint="eastAsia" w:ascii="宋体" w:hAnsi="宋体" w:cs="宋体"/>
                <w:i w:val="0"/>
                <w:iCs w:val="0"/>
                <w:color w:val="auto"/>
                <w:sz w:val="18"/>
                <w:szCs w:val="18"/>
                <w:highlight w:val="none"/>
                <w:u w:val="none"/>
                <w:lang w:val="en-US" w:eastAsia="zh-CN"/>
              </w:rPr>
              <w:t>看</w:t>
            </w:r>
            <w:r>
              <w:rPr>
                <w:rFonts w:hint="eastAsia" w:ascii="宋体" w:hAnsi="宋体" w:eastAsia="宋体" w:cs="宋体"/>
                <w:i w:val="0"/>
                <w:iCs w:val="0"/>
                <w:color w:val="auto"/>
                <w:sz w:val="18"/>
                <w:szCs w:val="18"/>
                <w:highlight w:val="none"/>
                <w:u w:val="none"/>
              </w:rPr>
              <w:t>申报情况；诊所查验：发送报表邮箱截图）</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p>
          <w:p w14:paraId="4EE2918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人力综合业务平台：按要求及时更新</w:t>
            </w:r>
            <w:r>
              <w:rPr>
                <w:rFonts w:hint="eastAsia" w:ascii="宋体" w:hAnsi="宋体" w:eastAsia="宋体" w:cs="宋体"/>
                <w:i w:val="0"/>
                <w:iCs w:val="0"/>
                <w:color w:val="auto"/>
                <w:sz w:val="18"/>
                <w:szCs w:val="18"/>
                <w:highlight w:val="none"/>
                <w:u w:val="none"/>
                <w:lang w:val="en-US" w:eastAsia="zh-CN"/>
              </w:rPr>
              <w:t>人力资源</w:t>
            </w:r>
            <w:r>
              <w:rPr>
                <w:rFonts w:hint="eastAsia" w:ascii="宋体" w:hAnsi="宋体" w:eastAsia="宋体" w:cs="宋体"/>
                <w:i w:val="0"/>
                <w:iCs w:val="0"/>
                <w:color w:val="auto"/>
                <w:sz w:val="18"/>
                <w:szCs w:val="18"/>
                <w:highlight w:val="none"/>
                <w:u w:val="none"/>
              </w:rPr>
              <w:t>数据</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p>
        </w:tc>
      </w:tr>
    </w:tbl>
    <w:p w14:paraId="12A1B0FC">
      <w:pPr>
        <w:rPr>
          <w:color w:val="auto"/>
          <w:highlight w:val="none"/>
        </w:rPr>
      </w:pPr>
    </w:p>
    <w:p w14:paraId="2A0FDCF5">
      <w:pPr>
        <w:rPr>
          <w:color w:val="auto"/>
          <w:highlight w:val="none"/>
        </w:rPr>
      </w:pPr>
    </w:p>
    <w:p w14:paraId="6CC92829">
      <w:pPr>
        <w:rPr>
          <w:color w:val="auto"/>
          <w:highlight w:val="none"/>
        </w:rPr>
      </w:pPr>
    </w:p>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49504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18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02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33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75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Times New Roman"/>
                <w:b/>
                <w:color w:val="auto"/>
                <w:kern w:val="0"/>
                <w:sz w:val="20"/>
                <w:szCs w:val="20"/>
                <w:highlight w:val="none"/>
                <w:lang w:val="en-US" w:eastAsia="zh-CN"/>
              </w:rPr>
              <w:t>评分说明</w:t>
            </w:r>
          </w:p>
        </w:tc>
      </w:tr>
      <w:tr w14:paraId="6883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0"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14:paraId="17D304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2.6</w:t>
            </w:r>
          </w:p>
          <w:p w14:paraId="3F1C93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医疗废物</w:t>
            </w:r>
          </w:p>
          <w:p w14:paraId="5B1FA9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6742E2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（1）建立健全的医疗废物管理制度，包括</w:t>
            </w:r>
            <w:r>
              <w:rPr>
                <w:rFonts w:hint="eastAsia" w:ascii="宋体" w:hAnsi="宋体" w:eastAsia="宋体" w:cs="宋体"/>
                <w:color w:val="auto"/>
                <w:kern w:val="2"/>
                <w:sz w:val="18"/>
                <w:szCs w:val="18"/>
                <w:highlight w:val="none"/>
                <w:u w:val="none"/>
                <w:lang w:val="en-US" w:eastAsia="zh-CN" w:bidi="ar"/>
              </w:rPr>
              <w:t>医疗废物</w:t>
            </w:r>
            <w:r>
              <w:rPr>
                <w:rFonts w:hint="eastAsia" w:ascii="宋体" w:hAnsi="宋体" w:cs="宋体"/>
                <w:i w:val="0"/>
                <w:iCs w:val="0"/>
                <w:color w:val="auto"/>
                <w:sz w:val="18"/>
                <w:szCs w:val="18"/>
                <w:highlight w:val="none"/>
                <w:u w:val="none"/>
                <w:lang w:val="en-US" w:eastAsia="zh-CN"/>
              </w:rPr>
              <w:t>流失扩散应急预案、分类目录、收集流程及上报机制。</w:t>
            </w:r>
          </w:p>
          <w:p w14:paraId="3AE763C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设置专用医疗废物暂存间，与生活垃圾分类收集，标识清晰，无遗撒、无露天存放现象；暂存点需分类投放。</w:t>
            </w:r>
          </w:p>
          <w:p w14:paraId="65E118B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暂存间应配备上下水设施、门锁、交接记录</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含签名</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、称重设备、专用工具、手卫生设施及消毒设备；墙面需张贴“危险废物”“医疗废物</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“禁止标识”及“六防”标识。</w:t>
            </w:r>
          </w:p>
          <w:p w14:paraId="3DD21FF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医疗废物有处置</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与环保部门签订处置协议；暂存点需定期消毒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空气/物表</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并记录；暂存时间不超过48小时；交接时称重、登记、签名，记录完整；使用“粤健通”填报电子转移联单。</w:t>
            </w:r>
          </w:p>
        </w:tc>
        <w:tc>
          <w:tcPr>
            <w:tcW w:w="624" w:type="dxa"/>
            <w:tcBorders>
              <w:top w:val="single" w:color="000000" w:sz="4" w:space="0"/>
              <w:left w:val="single" w:color="000000" w:sz="4" w:space="0"/>
              <w:bottom w:val="single" w:color="auto" w:sz="4" w:space="0"/>
              <w:right w:val="single" w:color="000000" w:sz="4" w:space="0"/>
            </w:tcBorders>
            <w:shd w:val="clear" w:color="auto" w:fill="auto"/>
            <w:vAlign w:val="center"/>
          </w:tcPr>
          <w:p w14:paraId="02FC6C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auto" w:sz="4" w:space="0"/>
              <w:right w:val="single" w:color="000000" w:sz="4" w:space="0"/>
            </w:tcBorders>
            <w:shd w:val="clear" w:color="auto" w:fill="auto"/>
            <w:vAlign w:val="center"/>
          </w:tcPr>
          <w:p w14:paraId="43BF887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实地检查，查阅资料。</w:t>
            </w:r>
          </w:p>
          <w:p w14:paraId="219A052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（1）无相关制度，扣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eastAsia="zh-CN"/>
              </w:rPr>
              <w:t>分。</w:t>
            </w:r>
          </w:p>
          <w:p w14:paraId="5A6EBDD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）无暂存间，扣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eastAsia="zh-CN"/>
              </w:rPr>
              <w:t>分；未分类，扣0.25分。</w:t>
            </w:r>
          </w:p>
          <w:p w14:paraId="1AF4F7A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eastAsia="zh-CN"/>
              </w:rPr>
              <w:t>）设施或标识缺一项，扣0.1分。</w:t>
            </w:r>
          </w:p>
          <w:p w14:paraId="073A3DF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eastAsia="zh-CN"/>
              </w:rPr>
              <w:t>）无医疗废物协议合同，扣2分；无消毒记录，扣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eastAsia="zh-CN"/>
              </w:rPr>
              <w:t>分；记录缺项，</w:t>
            </w:r>
            <w:r>
              <w:rPr>
                <w:rFonts w:hint="eastAsia" w:ascii="宋体" w:hAnsi="宋体" w:eastAsia="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eastAsia="zh-CN"/>
              </w:rPr>
              <w:t>扣0.1分；运送或储存物品未消毒，扣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eastAsia="zh-CN"/>
              </w:rPr>
              <w:t>分；医疗废物重量无登记或重量不实，扣0.1分。</w:t>
            </w:r>
          </w:p>
        </w:tc>
      </w:tr>
      <w:tr w14:paraId="39E47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8"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1C9EC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2.7</w:t>
            </w:r>
          </w:p>
          <w:p w14:paraId="40EC59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污水管理</w:t>
            </w:r>
          </w:p>
        </w:tc>
        <w:tc>
          <w:tcPr>
            <w:tcW w:w="5556" w:type="dxa"/>
            <w:tcBorders>
              <w:top w:val="single" w:color="auto" w:sz="4" w:space="0"/>
              <w:left w:val="single" w:color="auto" w:sz="4" w:space="0"/>
              <w:bottom w:val="single" w:color="auto" w:sz="4" w:space="0"/>
              <w:right w:val="single" w:color="auto" w:sz="4" w:space="0"/>
            </w:tcBorders>
            <w:shd w:val="clear" w:color="auto" w:fill="auto"/>
            <w:vAlign w:val="center"/>
          </w:tcPr>
          <w:p w14:paraId="37114D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有污水管理相关制度及处理工艺流程。</w:t>
            </w:r>
          </w:p>
          <w:p w14:paraId="05BE6C4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每日监测余氯/臭氧和pH值并记录，确保达标。</w:t>
            </w:r>
          </w:p>
          <w:p w14:paraId="0BBA8DD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确保消毒设备正常运行，留存检查记录。</w:t>
            </w:r>
          </w:p>
        </w:tc>
        <w:tc>
          <w:tcPr>
            <w:tcW w:w="624" w:type="dxa"/>
            <w:tcBorders>
              <w:top w:val="single" w:color="auto" w:sz="4" w:space="0"/>
              <w:left w:val="single" w:color="auto" w:sz="4" w:space="0"/>
              <w:bottom w:val="single" w:color="auto" w:sz="4" w:space="0"/>
              <w:right w:val="single" w:color="auto" w:sz="4" w:space="0"/>
            </w:tcBorders>
            <w:shd w:val="clear" w:color="auto" w:fill="auto"/>
            <w:vAlign w:val="center"/>
          </w:tcPr>
          <w:p w14:paraId="280348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auto" w:sz="4" w:space="0"/>
              <w:left w:val="single" w:color="auto" w:sz="4" w:space="0"/>
              <w:bottom w:val="single" w:color="auto" w:sz="4" w:space="0"/>
              <w:right w:val="single" w:color="auto" w:sz="4" w:space="0"/>
            </w:tcBorders>
            <w:shd w:val="clear" w:color="auto" w:fill="auto"/>
            <w:vAlign w:val="center"/>
          </w:tcPr>
          <w:p w14:paraId="392E83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实地检查，查阅资料。</w:t>
            </w:r>
          </w:p>
          <w:p w14:paraId="19086F9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（1）无制度或流程，</w:t>
            </w:r>
            <w:r>
              <w:rPr>
                <w:rFonts w:hint="eastAsia" w:ascii="宋体" w:hAnsi="宋体" w:eastAsia="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eastAsia="zh-CN"/>
              </w:rPr>
              <w:t>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eastAsia="zh-CN"/>
              </w:rPr>
              <w:t>分；制度与实际不符，扣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eastAsia="zh-CN"/>
              </w:rPr>
              <w:t>分。</w:t>
            </w:r>
          </w:p>
          <w:p w14:paraId="32F0463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eastAsia="zh-CN"/>
              </w:rPr>
              <w:t>）未每日监测，扣0.5分；记录不全，</w:t>
            </w:r>
            <w:r>
              <w:rPr>
                <w:rFonts w:hint="eastAsia" w:ascii="宋体" w:hAnsi="宋体" w:eastAsia="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eastAsia="zh-CN"/>
              </w:rPr>
              <w:t>扣0.25分；不达标，扣0.5分。</w:t>
            </w:r>
          </w:p>
          <w:p w14:paraId="0F8AEF3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eastAsia="zh-CN"/>
              </w:rPr>
              <w:t>）污水处理系统停运，扣1分。</w:t>
            </w:r>
          </w:p>
        </w:tc>
      </w:tr>
    </w:tbl>
    <w:p w14:paraId="3B9DE9ED">
      <w:pPr>
        <w:keepNext w:val="0"/>
        <w:keepLines w:val="0"/>
        <w:pageBreakBefore w:val="0"/>
        <w:kinsoku/>
        <w:wordWrap/>
        <w:overflowPunct/>
        <w:topLinePunct w:val="0"/>
        <w:autoSpaceDE/>
        <w:autoSpaceDN/>
        <w:bidi w:val="0"/>
        <w:adjustRightInd/>
        <w:snapToGrid/>
        <w:spacing w:line="300" w:lineRule="exact"/>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br w:type="page"/>
      </w:r>
    </w:p>
    <w:p w14:paraId="4330CC3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3.规范服务（</w:t>
      </w:r>
      <w:r>
        <w:rPr>
          <w:rFonts w:hint="eastAsia" w:ascii="宋体" w:hAnsi="宋体" w:cs="宋体"/>
          <w:b w:val="0"/>
          <w:bCs/>
          <w:color w:val="auto"/>
          <w:sz w:val="32"/>
          <w:szCs w:val="32"/>
          <w:highlight w:val="none"/>
          <w:lang w:val="en-US" w:eastAsia="zh-CN"/>
        </w:rPr>
        <w:t>8</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74A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2D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CB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C0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39D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14:paraId="01D7C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0" w:hRule="atLeast"/>
        </w:trPr>
        <w:tc>
          <w:tcPr>
            <w:tcW w:w="1134" w:type="dxa"/>
            <w:tcBorders>
              <w:top w:val="single" w:color="000000" w:sz="4" w:space="0"/>
              <w:left w:val="single" w:color="000000" w:sz="4" w:space="0"/>
              <w:right w:val="single" w:color="000000" w:sz="4" w:space="0"/>
            </w:tcBorders>
            <w:shd w:val="clear" w:color="auto" w:fill="auto"/>
            <w:vAlign w:val="center"/>
          </w:tcPr>
          <w:p w14:paraId="34DAEB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1</w:t>
            </w:r>
          </w:p>
          <w:p w14:paraId="1718ED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医疗质量</w:t>
            </w:r>
          </w:p>
          <w:p w14:paraId="0384FCF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7A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健全的医疗安全管理制度。</w:t>
            </w:r>
          </w:p>
          <w:p w14:paraId="78B6FCC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成立质量管理小组，设置质量管理负责人，定期参与质控培训；设置依法执业管理员，</w:t>
            </w:r>
            <w:r>
              <w:rPr>
                <w:rFonts w:hint="eastAsia" w:ascii="宋体" w:hAnsi="宋体" w:eastAsia="宋体" w:cs="宋体"/>
                <w:b w:val="0"/>
                <w:bCs w:val="0"/>
                <w:i w:val="0"/>
                <w:iCs w:val="0"/>
                <w:caps w:val="0"/>
                <w:color w:val="auto"/>
                <w:spacing w:val="0"/>
                <w:sz w:val="18"/>
                <w:szCs w:val="18"/>
                <w:highlight w:val="none"/>
                <w:u w:val="none"/>
                <w:shd w:val="clear"/>
              </w:rPr>
              <w:t>构建岗位质量考核机制，严格落实操作规范与制度</w:t>
            </w:r>
            <w:r>
              <w:rPr>
                <w:rFonts w:hint="eastAsia" w:ascii="宋体" w:hAnsi="宋体" w:cs="宋体"/>
                <w:b w:val="0"/>
                <w:bCs w:val="0"/>
                <w:i w:val="0"/>
                <w:iCs w:val="0"/>
                <w:caps w:val="0"/>
                <w:color w:val="auto"/>
                <w:spacing w:val="0"/>
                <w:sz w:val="18"/>
                <w:szCs w:val="18"/>
                <w:highlight w:val="none"/>
                <w:u w:val="none"/>
                <w:shd w:val="clear"/>
                <w:lang w:eastAsia="zh-CN"/>
              </w:rPr>
              <w:t>，</w:t>
            </w:r>
            <w:r>
              <w:rPr>
                <w:rFonts w:hint="eastAsia" w:ascii="宋体" w:hAnsi="宋体" w:eastAsia="宋体" w:cs="宋体"/>
                <w:b w:val="0"/>
                <w:bCs w:val="0"/>
                <w:i w:val="0"/>
                <w:iCs w:val="0"/>
                <w:caps w:val="0"/>
                <w:color w:val="auto"/>
                <w:spacing w:val="0"/>
                <w:sz w:val="18"/>
                <w:szCs w:val="18"/>
                <w:highlight w:val="none"/>
                <w:u w:val="none"/>
                <w:shd w:val="clear"/>
              </w:rPr>
              <w:t>严控差错事故风险，筑牢患者安全医疗防线</w:t>
            </w:r>
            <w:r>
              <w:rPr>
                <w:rFonts w:hint="eastAsia" w:ascii="宋体" w:hAnsi="宋体" w:cs="宋体"/>
                <w:i w:val="0"/>
                <w:iCs w:val="0"/>
                <w:color w:val="auto"/>
                <w:sz w:val="18"/>
                <w:szCs w:val="18"/>
                <w:highlight w:val="none"/>
                <w:u w:val="none"/>
                <w:lang w:eastAsia="zh-CN"/>
              </w:rPr>
              <w:t>。</w:t>
            </w:r>
          </w:p>
        </w:tc>
        <w:tc>
          <w:tcPr>
            <w:tcW w:w="624" w:type="dxa"/>
            <w:tcBorders>
              <w:top w:val="single" w:color="000000" w:sz="4" w:space="0"/>
              <w:left w:val="single" w:color="000000" w:sz="4" w:space="0"/>
              <w:right w:val="single" w:color="000000" w:sz="4" w:space="0"/>
            </w:tcBorders>
            <w:shd w:val="clear" w:color="auto" w:fill="auto"/>
            <w:vAlign w:val="center"/>
          </w:tcPr>
          <w:p w14:paraId="0B4165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A4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eastAsia="宋体" w:cs="宋体"/>
                <w:i w:val="0"/>
                <w:iCs w:val="0"/>
                <w:color w:val="auto"/>
                <w:sz w:val="18"/>
                <w:szCs w:val="18"/>
                <w:highlight w:val="none"/>
                <w:u w:val="none"/>
                <w:lang w:eastAsia="zh-CN"/>
              </w:rPr>
              <w:t>。</w:t>
            </w:r>
          </w:p>
          <w:p w14:paraId="73C2B6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未落实医疗安全管理制度</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14:paraId="64079C3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未设置质量管理小组</w:t>
            </w:r>
            <w:r>
              <w:rPr>
                <w:rFonts w:hint="eastAsia" w:ascii="宋体" w:hAnsi="宋体" w:cs="宋体"/>
                <w:i w:val="0"/>
                <w:iCs w:val="0"/>
                <w:color w:val="auto"/>
                <w:sz w:val="18"/>
                <w:szCs w:val="18"/>
                <w:highlight w:val="none"/>
                <w:u w:val="none"/>
                <w:lang w:val="en-US" w:eastAsia="zh-CN"/>
              </w:rPr>
              <w:t>和质量管理负责人，扣0.5分；</w:t>
            </w:r>
            <w:r>
              <w:rPr>
                <w:rFonts w:hint="eastAsia" w:ascii="宋体" w:hAnsi="宋体" w:eastAsia="宋体" w:cs="宋体"/>
                <w:i w:val="0"/>
                <w:iCs w:val="0"/>
                <w:color w:val="auto"/>
                <w:sz w:val="18"/>
                <w:szCs w:val="18"/>
                <w:highlight w:val="none"/>
                <w:u w:val="none"/>
              </w:rPr>
              <w:t>未设置依法执业管理员</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default"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r>
              <w:rPr>
                <w:rFonts w:hint="eastAsia" w:ascii="宋体" w:hAnsi="宋体" w:cs="宋体"/>
                <w:i w:val="0"/>
                <w:iCs w:val="0"/>
                <w:color w:val="auto"/>
                <w:sz w:val="18"/>
                <w:szCs w:val="18"/>
                <w:highlight w:val="none"/>
                <w:u w:val="none"/>
                <w:lang w:eastAsia="zh-CN"/>
              </w:rPr>
              <w:t>。</w:t>
            </w:r>
          </w:p>
          <w:p w14:paraId="14198DE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查阅</w:t>
            </w:r>
            <w:r>
              <w:rPr>
                <w:rFonts w:hint="eastAsia" w:ascii="宋体" w:hAnsi="宋体" w:eastAsia="宋体" w:cs="宋体"/>
                <w:color w:val="auto"/>
                <w:kern w:val="0"/>
                <w:sz w:val="18"/>
                <w:szCs w:val="18"/>
                <w:highlight w:val="none"/>
                <w:lang w:val="en-US" w:eastAsia="zh-CN" w:bidi="ar"/>
              </w:rPr>
              <w:t>医疗不良事件、重大医疗过失行为、重大医疗纠纷上报制度和</w:t>
            </w:r>
            <w:r>
              <w:rPr>
                <w:rFonts w:hint="eastAsia" w:ascii="宋体" w:hAnsi="宋体" w:eastAsia="宋体" w:cs="宋体"/>
                <w:i w:val="0"/>
                <w:iCs w:val="0"/>
                <w:color w:val="auto"/>
                <w:sz w:val="18"/>
                <w:szCs w:val="18"/>
                <w:highlight w:val="none"/>
                <w:u w:val="none"/>
              </w:rPr>
              <w:t>差错事故登记本</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无</w:t>
            </w:r>
            <w:r>
              <w:rPr>
                <w:rFonts w:hint="eastAsia" w:ascii="宋体" w:hAnsi="宋体" w:eastAsia="宋体" w:cs="宋体"/>
                <w:i w:val="0"/>
                <w:iCs w:val="0"/>
                <w:color w:val="auto"/>
                <w:sz w:val="18"/>
                <w:szCs w:val="18"/>
                <w:highlight w:val="none"/>
                <w:u w:val="none"/>
              </w:rPr>
              <w:t>制度、措施、记录</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扣0.5</w:t>
            </w:r>
            <w:r>
              <w:rPr>
                <w:rFonts w:hint="eastAsia" w:ascii="宋体" w:hAnsi="宋体" w:eastAsia="宋体" w:cs="宋体"/>
                <w:i w:val="0"/>
                <w:iCs w:val="0"/>
                <w:color w:val="auto"/>
                <w:sz w:val="18"/>
                <w:szCs w:val="18"/>
                <w:highlight w:val="none"/>
                <w:u w:val="none"/>
              </w:rPr>
              <w:t>分。</w:t>
            </w:r>
          </w:p>
          <w:p w14:paraId="7B6FEE3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抽查规章制度和人员岗位责任制度，特别是医疗质量和医疗安全的18项核心制度落实情况。（首诊、会诊、查对、病历管理、信息安全、疑难病历等机构开展诊疗项目的相关制度）</w:t>
            </w:r>
            <w:r>
              <w:rPr>
                <w:rFonts w:hint="eastAsia" w:ascii="宋体" w:hAnsi="宋体" w:eastAsia="宋体" w:cs="宋体"/>
                <w:i w:val="0"/>
                <w:iCs w:val="0"/>
                <w:color w:val="auto"/>
                <w:sz w:val="18"/>
                <w:szCs w:val="18"/>
                <w:highlight w:val="none"/>
                <w:u w:val="none"/>
                <w:lang w:val="en-US" w:eastAsia="zh-CN"/>
              </w:rPr>
              <w:t>无相关制度，扣0.5分。</w:t>
            </w:r>
          </w:p>
        </w:tc>
      </w:tr>
      <w:tr w14:paraId="4E85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3" w:hRule="atLeast"/>
        </w:trPr>
        <w:tc>
          <w:tcPr>
            <w:tcW w:w="1134" w:type="dxa"/>
            <w:tcBorders>
              <w:top w:val="single" w:color="000000" w:sz="4" w:space="0"/>
              <w:left w:val="single" w:color="000000" w:sz="4" w:space="0"/>
              <w:right w:val="single" w:color="000000" w:sz="4" w:space="0"/>
            </w:tcBorders>
            <w:shd w:val="clear" w:color="auto" w:fill="auto"/>
            <w:vAlign w:val="center"/>
          </w:tcPr>
          <w:p w14:paraId="6EC2FD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3.2</w:t>
            </w:r>
            <w:r>
              <w:rPr>
                <w:rFonts w:hint="eastAsia" w:ascii="宋体" w:hAnsi="宋体" w:eastAsia="宋体" w:cs="宋体"/>
                <w:i w:val="0"/>
                <w:iCs w:val="0"/>
                <w:color w:val="auto"/>
                <w:sz w:val="18"/>
                <w:szCs w:val="18"/>
                <w:highlight w:val="none"/>
                <w:u w:val="none"/>
                <w:lang w:val="en-US" w:eastAsia="zh-CN"/>
              </w:rPr>
              <w:br w:type="textWrapping"/>
            </w:r>
            <w:r>
              <w:rPr>
                <w:rFonts w:hint="default" w:ascii="宋体" w:hAnsi="宋体" w:eastAsia="宋体" w:cs="宋体"/>
                <w:i w:val="0"/>
                <w:iCs w:val="0"/>
                <w:color w:val="auto"/>
                <w:sz w:val="18"/>
                <w:szCs w:val="18"/>
                <w:highlight w:val="none"/>
                <w:u w:val="none"/>
                <w:lang w:val="en-US" w:eastAsia="zh-CN"/>
              </w:rPr>
              <w:t>维</w:t>
            </w:r>
            <w:r>
              <w:rPr>
                <w:rFonts w:hint="eastAsia" w:ascii="宋体" w:hAnsi="宋体" w:eastAsia="宋体" w:cs="宋体"/>
                <w:i w:val="0"/>
                <w:iCs w:val="0"/>
                <w:color w:val="auto"/>
                <w:sz w:val="18"/>
                <w:szCs w:val="18"/>
                <w:highlight w:val="none"/>
                <w:u w:val="none"/>
                <w:lang w:val="en-US" w:eastAsia="zh-CN"/>
              </w:rPr>
              <w:t>续教育</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9F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rPr>
              <w:t>医务人员应持续参与继续医学教育，不断更新专业知识与技能</w:t>
            </w: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lang w:eastAsia="zh-CN"/>
              </w:rPr>
              <w:t>。</w:t>
            </w:r>
          </w:p>
        </w:tc>
        <w:tc>
          <w:tcPr>
            <w:tcW w:w="624" w:type="dxa"/>
            <w:tcBorders>
              <w:top w:val="single" w:color="000000" w:sz="4" w:space="0"/>
              <w:left w:val="single" w:color="000000" w:sz="4" w:space="0"/>
              <w:right w:val="single" w:color="000000" w:sz="4" w:space="0"/>
            </w:tcBorders>
            <w:shd w:val="clear" w:color="auto" w:fill="auto"/>
            <w:vAlign w:val="center"/>
          </w:tcPr>
          <w:p w14:paraId="402A08B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FD3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eastAsia="宋体" w:cs="宋体"/>
                <w:i w:val="0"/>
                <w:iCs w:val="0"/>
                <w:color w:val="auto"/>
                <w:sz w:val="18"/>
                <w:szCs w:val="18"/>
                <w:highlight w:val="none"/>
                <w:u w:val="none"/>
                <w:lang w:eastAsia="zh-CN"/>
              </w:rPr>
              <w:t>。</w:t>
            </w:r>
          </w:p>
          <w:p w14:paraId="62ADE28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color w:val="auto"/>
                <w:sz w:val="18"/>
                <w:szCs w:val="18"/>
                <w:highlight w:val="none"/>
                <w:lang w:val="en-US" w:eastAsia="zh-CN"/>
              </w:rPr>
              <w:t>无</w:t>
            </w:r>
            <w:r>
              <w:rPr>
                <w:rFonts w:hint="eastAsia" w:ascii="宋体" w:hAnsi="宋体" w:eastAsia="宋体" w:cs="宋体"/>
                <w:i w:val="0"/>
                <w:iCs w:val="0"/>
                <w:color w:val="auto"/>
                <w:sz w:val="18"/>
                <w:szCs w:val="18"/>
                <w:highlight w:val="none"/>
                <w:u w:val="none"/>
                <w:lang w:val="en-US" w:eastAsia="zh-CN"/>
              </w:rPr>
              <w:t>继续教育</w:t>
            </w:r>
            <w:r>
              <w:rPr>
                <w:rFonts w:hint="eastAsia" w:ascii="宋体" w:hAnsi="宋体" w:eastAsia="宋体" w:cs="宋体"/>
                <w:color w:val="auto"/>
                <w:sz w:val="18"/>
                <w:szCs w:val="18"/>
                <w:highlight w:val="none"/>
                <w:lang w:val="en-US" w:eastAsia="zh-CN"/>
              </w:rPr>
              <w:t>培训计划/记录，此项不得分；每季度至少参加1次培训，缺1次，扣0.5分。</w:t>
            </w:r>
          </w:p>
        </w:tc>
      </w:tr>
      <w:tr w14:paraId="651A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134" w:type="dxa"/>
            <w:tcBorders>
              <w:top w:val="single" w:color="000000" w:sz="4" w:space="0"/>
              <w:left w:val="single" w:color="000000" w:sz="4" w:space="0"/>
              <w:right w:val="single" w:color="000000" w:sz="4" w:space="0"/>
            </w:tcBorders>
            <w:shd w:val="clear" w:color="auto" w:fill="auto"/>
            <w:vAlign w:val="center"/>
          </w:tcPr>
          <w:p w14:paraId="698580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3.3</w:t>
            </w:r>
          </w:p>
          <w:p w14:paraId="4230A0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诊疗登记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50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Theme="minorEastAsia" w:hAnsiTheme="minorEastAsia" w:eastAsiaTheme="minorEastAsia" w:cstheme="minorEastAsia"/>
                <w:i w:val="0"/>
                <w:iCs w:val="0"/>
                <w:caps w:val="0"/>
                <w:color w:val="auto"/>
                <w:spacing w:val="0"/>
                <w:sz w:val="18"/>
                <w:szCs w:val="18"/>
                <w:highlight w:val="none"/>
                <w:shd w:val="clear" w:color="auto" w:fill="auto"/>
              </w:rPr>
              <w:t>需规范</w:t>
            </w:r>
            <w:r>
              <w:rPr>
                <w:rFonts w:hint="eastAsia" w:asciiTheme="minorEastAsia" w:hAnsiTheme="minorEastAsia" w:eastAsiaTheme="minorEastAsia" w:cstheme="minorEastAsia"/>
                <w:i w:val="0"/>
                <w:iCs w:val="0"/>
                <w:caps w:val="0"/>
                <w:color w:val="auto"/>
                <w:spacing w:val="0"/>
                <w:sz w:val="18"/>
                <w:szCs w:val="18"/>
                <w:highlight w:val="none"/>
                <w:u w:val="none"/>
                <w:shd w:val="clear" w:color="auto" w:fill="auto"/>
              </w:rPr>
              <w:t>门诊日志登记或建立患者病历档案，确保记录完整且可提供复印；代为保管纸质病历需经患者知情同意。</w:t>
            </w:r>
          </w:p>
        </w:tc>
        <w:tc>
          <w:tcPr>
            <w:tcW w:w="624" w:type="dxa"/>
            <w:tcBorders>
              <w:top w:val="single" w:color="000000" w:sz="4" w:space="0"/>
              <w:left w:val="single" w:color="000000" w:sz="4" w:space="0"/>
              <w:right w:val="single" w:color="000000" w:sz="4" w:space="0"/>
            </w:tcBorders>
            <w:shd w:val="clear" w:color="auto" w:fill="auto"/>
            <w:vAlign w:val="center"/>
          </w:tcPr>
          <w:p w14:paraId="126498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546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14:paraId="03DF6A7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查阅登记本或患者病历档案（含电子化系统），无法查阅扣0.5分。无患者同意病历代为保管的相关证明，扣0.5分。</w:t>
            </w:r>
          </w:p>
        </w:tc>
      </w:tr>
      <w:tr w14:paraId="4D332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1" w:hRule="atLeast"/>
        </w:trPr>
        <w:tc>
          <w:tcPr>
            <w:tcW w:w="1134" w:type="dxa"/>
            <w:tcBorders>
              <w:top w:val="single" w:color="000000" w:sz="4" w:space="0"/>
              <w:left w:val="single" w:color="000000" w:sz="4" w:space="0"/>
              <w:right w:val="single" w:color="000000" w:sz="4" w:space="0"/>
            </w:tcBorders>
            <w:shd w:val="clear" w:color="auto" w:fill="auto"/>
            <w:vAlign w:val="center"/>
          </w:tcPr>
          <w:p w14:paraId="460D2A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3.4</w:t>
            </w:r>
          </w:p>
          <w:p w14:paraId="1B29F8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文化建设</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6D2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深入开展机构文化建设，积极参与文体活动，营造团结协作的工作氛围，保持机构人员关系和谐融洽。</w:t>
            </w:r>
          </w:p>
        </w:tc>
        <w:tc>
          <w:tcPr>
            <w:tcW w:w="624" w:type="dxa"/>
            <w:tcBorders>
              <w:top w:val="single" w:color="000000" w:sz="4" w:space="0"/>
              <w:left w:val="single" w:color="000000" w:sz="4" w:space="0"/>
              <w:right w:val="single" w:color="000000" w:sz="4" w:space="0"/>
            </w:tcBorders>
            <w:shd w:val="clear" w:color="auto" w:fill="auto"/>
            <w:vAlign w:val="center"/>
          </w:tcPr>
          <w:p w14:paraId="537C6B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3E2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p>
          <w:p w14:paraId="4A53F71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有文化建设落实举措得分。</w:t>
            </w:r>
          </w:p>
        </w:tc>
      </w:tr>
      <w:tr w14:paraId="411BA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D0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5</w:t>
            </w:r>
          </w:p>
          <w:p w14:paraId="022725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诚信宣传</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6FF5">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无违规广告、虚假信息</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无虚假的机构或个人信息展示，不得有夸大宣传的用词，不能有违反广告法的宣传等。</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0B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E845">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14:paraId="5846F9DD">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如出现违规广告、虚假信息展示或不正规的治疗名称项目，此项不得分。</w:t>
            </w:r>
          </w:p>
        </w:tc>
      </w:tr>
      <w:tr w14:paraId="4CFB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14:paraId="0590A2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3.6</w:t>
            </w:r>
          </w:p>
          <w:p w14:paraId="0590E2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满意度</w:t>
            </w:r>
          </w:p>
        </w:tc>
        <w:tc>
          <w:tcPr>
            <w:tcW w:w="5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0959FF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调查采用1～10分的评分制度，得分为评分</w:t>
            </w:r>
            <w:r>
              <w:rPr>
                <w:rFonts w:hint="eastAsia" w:ascii="宋体" w:hAnsi="宋体" w:cs="宋体"/>
                <w:i w:val="0"/>
                <w:iCs w:val="0"/>
                <w:color w:val="auto"/>
                <w:sz w:val="18"/>
                <w:szCs w:val="18"/>
                <w:highlight w:val="none"/>
                <w:u w:val="none"/>
                <w:lang w:val="en-US" w:eastAsia="zh-CN"/>
              </w:rPr>
              <w:t>总分</w:t>
            </w:r>
            <w:r>
              <w:rPr>
                <w:rFonts w:hint="eastAsia" w:ascii="宋体" w:hAnsi="宋体" w:eastAsia="宋体" w:cs="宋体"/>
                <w:i w:val="0"/>
                <w:iCs w:val="0"/>
                <w:color w:val="auto"/>
                <w:sz w:val="18"/>
                <w:szCs w:val="18"/>
                <w:highlight w:val="none"/>
                <w:u w:val="none"/>
                <w:lang w:val="en-US" w:eastAsia="zh-CN"/>
              </w:rPr>
              <w:t>*10%。</w:t>
            </w:r>
          </w:p>
          <w:p w14:paraId="0ACC5CE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评分包含：（1）诊疗环境满意度；（2）服务态度和沟通效率满意度；（3）诊疗技术满意度；（4）诊疗过程满意度；（5）收费合理性满意度。</w:t>
            </w:r>
          </w:p>
        </w:tc>
        <w:tc>
          <w:tcPr>
            <w:tcW w:w="624" w:type="dxa"/>
            <w:tcBorders>
              <w:top w:val="single" w:color="000000" w:sz="4" w:space="0"/>
              <w:left w:val="single" w:color="000000" w:sz="4" w:space="0"/>
              <w:bottom w:val="single" w:color="auto" w:sz="4" w:space="0"/>
              <w:right w:val="single" w:color="000000" w:sz="4" w:space="0"/>
            </w:tcBorders>
            <w:shd w:val="clear" w:color="auto" w:fill="auto"/>
            <w:vAlign w:val="center"/>
          </w:tcPr>
          <w:p w14:paraId="0F6E8D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auto" w:sz="4" w:space="0"/>
              <w:right w:val="single" w:color="000000" w:sz="4" w:space="0"/>
            </w:tcBorders>
            <w:shd w:val="clear" w:color="auto" w:fill="auto"/>
            <w:vAlign w:val="center"/>
          </w:tcPr>
          <w:p w14:paraId="09834D4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i w:val="0"/>
                <w:iCs w:val="0"/>
                <w:color w:val="auto"/>
                <w:sz w:val="18"/>
                <w:szCs w:val="18"/>
                <w:highlight w:val="none"/>
                <w:u w:val="none"/>
              </w:rPr>
              <w:t>现场随机询问或电话联系</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位患者，调查患者就医满意度情况。</w:t>
            </w:r>
          </w:p>
        </w:tc>
      </w:tr>
    </w:tbl>
    <w:p w14:paraId="67B4A49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p w14:paraId="1CBA2C8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p>
    <w:p w14:paraId="73D3E1D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val="0"/>
          <w:bCs/>
          <w:color w:val="auto"/>
          <w:sz w:val="32"/>
          <w:szCs w:val="32"/>
          <w:highlight w:val="none"/>
          <w:lang w:val="en-US" w:eastAsia="zh-CN"/>
        </w:rPr>
      </w:pPr>
      <w:r>
        <w:rPr>
          <w:rFonts w:hint="eastAsia" w:ascii="宋体" w:hAnsi="宋体" w:cs="宋体"/>
          <w:b w:val="0"/>
          <w:bCs/>
          <w:color w:val="auto"/>
          <w:sz w:val="32"/>
          <w:szCs w:val="32"/>
          <w:highlight w:val="none"/>
          <w:lang w:val="en-US" w:eastAsia="zh-CN"/>
        </w:rPr>
        <w:t>4.医疗器械管理</w:t>
      </w:r>
      <w:r>
        <w:rPr>
          <w:rFonts w:hint="eastAsia" w:ascii="宋体" w:hAnsi="宋体" w:eastAsia="宋体" w:cs="宋体"/>
          <w:b w:val="0"/>
          <w:bCs/>
          <w:color w:val="auto"/>
          <w:sz w:val="32"/>
          <w:szCs w:val="32"/>
          <w:highlight w:val="none"/>
          <w:lang w:val="en-US" w:eastAsia="zh-CN"/>
        </w:rPr>
        <w:t>（</w:t>
      </w:r>
      <w:r>
        <w:rPr>
          <w:rFonts w:hint="eastAsia" w:ascii="宋体" w:hAnsi="宋体" w:cs="宋体"/>
          <w:b w:val="0"/>
          <w:bCs/>
          <w:color w:val="auto"/>
          <w:sz w:val="32"/>
          <w:szCs w:val="32"/>
          <w:highlight w:val="none"/>
          <w:lang w:val="en-US" w:eastAsia="zh-CN"/>
        </w:rPr>
        <w:t>4</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0E20B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14:paraId="62D5B6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auto" w:sz="4" w:space="0"/>
              <w:right w:val="single" w:color="000000" w:sz="4" w:space="0"/>
            </w:tcBorders>
            <w:shd w:val="clear" w:color="auto" w:fill="auto"/>
            <w:vAlign w:val="center"/>
          </w:tcPr>
          <w:p w14:paraId="1B26F2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rPr>
              <w:t>评分内容</w:t>
            </w:r>
          </w:p>
        </w:tc>
        <w:tc>
          <w:tcPr>
            <w:tcW w:w="624" w:type="dxa"/>
            <w:tcBorders>
              <w:top w:val="single" w:color="000000" w:sz="4" w:space="0"/>
              <w:left w:val="single" w:color="000000" w:sz="4" w:space="0"/>
              <w:bottom w:val="single" w:color="auto" w:sz="4" w:space="0"/>
              <w:right w:val="single" w:color="000000" w:sz="4" w:space="0"/>
            </w:tcBorders>
            <w:shd w:val="clear" w:color="auto" w:fill="auto"/>
            <w:vAlign w:val="center"/>
          </w:tcPr>
          <w:p w14:paraId="4D75F4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20"/>
                <w:szCs w:val="20"/>
                <w:highlight w:val="none"/>
                <w:u w:val="none"/>
                <w:lang w:val="en-US" w:eastAsia="zh-CN"/>
              </w:rPr>
            </w:pPr>
            <w:r>
              <w:rPr>
                <w:rFonts w:hint="eastAsia" w:ascii="宋体" w:hAnsi="宋体" w:eastAsia="宋体" w:cs="宋体"/>
                <w:b/>
                <w:bCs/>
                <w:i w:val="0"/>
                <w:iCs w:val="0"/>
                <w:color w:val="auto"/>
                <w:sz w:val="20"/>
                <w:szCs w:val="20"/>
                <w:highlight w:val="none"/>
                <w:u w:val="none"/>
                <w:lang w:val="en-US" w:eastAsia="zh-CN"/>
              </w:rPr>
              <w:t>分值</w:t>
            </w:r>
          </w:p>
        </w:tc>
        <w:tc>
          <w:tcPr>
            <w:tcW w:w="3628" w:type="dxa"/>
            <w:tcBorders>
              <w:top w:val="single" w:color="000000" w:sz="4" w:space="0"/>
              <w:left w:val="single" w:color="000000" w:sz="4" w:space="0"/>
              <w:bottom w:val="single" w:color="auto" w:sz="4" w:space="0"/>
              <w:right w:val="single" w:color="000000" w:sz="4" w:space="0"/>
            </w:tcBorders>
            <w:shd w:val="clear" w:color="auto" w:fill="auto"/>
            <w:vAlign w:val="center"/>
          </w:tcPr>
          <w:p w14:paraId="5136C6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20"/>
                <w:szCs w:val="20"/>
                <w:highlight w:val="none"/>
                <w:u w:val="none"/>
                <w:lang w:val="en-US" w:eastAsia="zh-CN"/>
              </w:rPr>
            </w:pPr>
            <w:r>
              <w:rPr>
                <w:rFonts w:hint="eastAsia" w:ascii="宋体" w:hAnsi="宋体" w:eastAsia="宋体" w:cs="宋体"/>
                <w:b/>
                <w:bCs/>
                <w:i w:val="0"/>
                <w:iCs w:val="0"/>
                <w:color w:val="auto"/>
                <w:kern w:val="0"/>
                <w:sz w:val="20"/>
                <w:szCs w:val="20"/>
                <w:highlight w:val="none"/>
                <w:u w:val="none"/>
                <w:lang w:val="en-US" w:eastAsia="zh-CN"/>
              </w:rPr>
              <w:t>评分说明</w:t>
            </w:r>
          </w:p>
        </w:tc>
      </w:tr>
      <w:tr w14:paraId="4F67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0" w:hRule="atLeast"/>
        </w:trPr>
        <w:tc>
          <w:tcPr>
            <w:tcW w:w="1134" w:type="dxa"/>
            <w:tcBorders>
              <w:top w:val="single" w:color="auto" w:sz="4" w:space="0"/>
              <w:left w:val="single" w:color="auto" w:sz="4" w:space="0"/>
              <w:bottom w:val="single" w:color="auto" w:sz="4" w:space="0"/>
              <w:right w:val="single" w:color="000000" w:sz="4" w:space="0"/>
            </w:tcBorders>
            <w:shd w:val="clear" w:color="auto" w:fill="auto"/>
            <w:vAlign w:val="center"/>
          </w:tcPr>
          <w:p w14:paraId="0E19F0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4.1</w:t>
            </w:r>
          </w:p>
          <w:p w14:paraId="762295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口腔医疗器械管理</w:t>
            </w:r>
          </w:p>
        </w:tc>
        <w:tc>
          <w:tcPr>
            <w:tcW w:w="5556" w:type="dxa"/>
            <w:tcBorders>
              <w:top w:val="single" w:color="auto" w:sz="4" w:space="0"/>
              <w:left w:val="single" w:color="000000" w:sz="4" w:space="0"/>
              <w:bottom w:val="single" w:color="auto" w:sz="4" w:space="0"/>
              <w:right w:val="single" w:color="000000" w:sz="4" w:space="0"/>
            </w:tcBorders>
            <w:shd w:val="clear" w:color="auto" w:fill="auto"/>
            <w:vAlign w:val="center"/>
          </w:tcPr>
          <w:p w14:paraId="16FD770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val="0"/>
                <w:bCs w:val="0"/>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（1）是否存在购进、使用未依法注册/备案、无合格证明文件、过期、失效、淘汰的医疗器械情况。（如：高压蒸汽灭菌器、牙科综合治疗台、激光治疗仪、种植机、光固化灯等医疗器械）</w:t>
            </w:r>
          </w:p>
          <w:p w14:paraId="2772C89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val="0"/>
                <w:bCs w:val="0"/>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（2）是否建立并执行医疗器械进货查验制度以及进货查验记录；是否妥善保存二、三类医疗器械三证。</w:t>
            </w:r>
          </w:p>
          <w:p w14:paraId="72B2B9D0">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default" w:ascii="宋体" w:hAnsi="宋体" w:cs="宋体"/>
                <w:b w:val="0"/>
                <w:bCs w:val="0"/>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（3）是否有完整建立并保存口腔植入及介入类医疗器械（如：种植体、支抗钉、颌面钛板钛钉等）使用记录；是否有建立植入及介入耗材条形码的管理和告知。</w:t>
            </w:r>
          </w:p>
          <w:p w14:paraId="28CC35C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val="0"/>
                <w:bCs w:val="0"/>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（4）是否有按照要求建立相关医疗器械不良事件监管制度以及上报流程。</w:t>
            </w:r>
          </w:p>
          <w:p w14:paraId="0A1CC8F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cs="宋体"/>
                <w:b w:val="0"/>
                <w:bCs w:val="0"/>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（5）是否按规定配备医疗器械质量管理人员；超期使用的设备是否有合格的检测报告以及持续维护记录；所有器械需按产品说明书适用范围使用，严禁超范围使用相关内容。</w:t>
            </w:r>
          </w:p>
        </w:tc>
        <w:tc>
          <w:tcPr>
            <w:tcW w:w="624" w:type="dxa"/>
            <w:tcBorders>
              <w:top w:val="single" w:color="auto" w:sz="4" w:space="0"/>
              <w:left w:val="single" w:color="000000" w:sz="4" w:space="0"/>
              <w:bottom w:val="single" w:color="auto" w:sz="4" w:space="0"/>
              <w:right w:val="single" w:color="000000" w:sz="4" w:space="0"/>
            </w:tcBorders>
            <w:shd w:val="clear" w:color="auto" w:fill="auto"/>
            <w:vAlign w:val="center"/>
          </w:tcPr>
          <w:p w14:paraId="3D58D8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p>
        </w:tc>
        <w:tc>
          <w:tcPr>
            <w:tcW w:w="3628" w:type="dxa"/>
            <w:tcBorders>
              <w:top w:val="single" w:color="auto" w:sz="4" w:space="0"/>
              <w:left w:val="single" w:color="000000" w:sz="4" w:space="0"/>
              <w:bottom w:val="single" w:color="auto" w:sz="4" w:space="0"/>
              <w:right w:val="single" w:color="auto" w:sz="4" w:space="0"/>
            </w:tcBorders>
            <w:shd w:val="clear" w:color="auto" w:fill="auto"/>
            <w:vAlign w:val="center"/>
          </w:tcPr>
          <w:p w14:paraId="1801BB1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现场抽查相关医疗器械。</w:t>
            </w:r>
          </w:p>
          <w:p w14:paraId="17119897">
            <w:pPr>
              <w:keepNext w:val="0"/>
              <w:keepLines w:val="0"/>
              <w:pageBreakBefore w:val="0"/>
              <w:widowControl/>
              <w:numPr>
                <w:ilvl w:val="0"/>
                <w:numId w:val="3"/>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发现购进、使用</w:t>
            </w:r>
            <w:r>
              <w:rPr>
                <w:rFonts w:hint="eastAsia" w:ascii="宋体" w:hAnsi="宋体" w:cs="宋体"/>
                <w:b w:val="0"/>
                <w:bCs w:val="0"/>
                <w:i w:val="0"/>
                <w:iCs w:val="0"/>
                <w:color w:val="auto"/>
                <w:sz w:val="18"/>
                <w:szCs w:val="18"/>
                <w:highlight w:val="none"/>
                <w:u w:val="none"/>
                <w:lang w:val="en-US" w:eastAsia="zh-CN"/>
              </w:rPr>
              <w:t>未依法注册/备案、无合格证明文件、过期、失效、淘汰</w:t>
            </w:r>
            <w:r>
              <w:rPr>
                <w:rFonts w:hint="eastAsia" w:ascii="宋体" w:hAnsi="宋体" w:cs="宋体"/>
                <w:i w:val="0"/>
                <w:iCs w:val="0"/>
                <w:color w:val="auto"/>
                <w:sz w:val="18"/>
                <w:szCs w:val="18"/>
                <w:highlight w:val="none"/>
                <w:u w:val="none"/>
                <w:lang w:val="en-US" w:eastAsia="zh-CN"/>
              </w:rPr>
              <w:t>的医疗器械扣1分。</w:t>
            </w:r>
          </w:p>
          <w:p w14:paraId="6084157B">
            <w:pPr>
              <w:keepNext w:val="0"/>
              <w:keepLines w:val="0"/>
              <w:pageBreakBefore w:val="0"/>
              <w:widowControl/>
              <w:numPr>
                <w:ilvl w:val="0"/>
                <w:numId w:val="3"/>
              </w:numPr>
              <w:suppressLineNumbers w:val="0"/>
              <w:kinsoku/>
              <w:wordWrap/>
              <w:overflowPunct/>
              <w:topLinePunct w:val="0"/>
              <w:autoSpaceDE/>
              <w:autoSpaceDN/>
              <w:bidi w:val="0"/>
              <w:adjustRightInd/>
              <w:snapToGrid/>
              <w:spacing w:line="300" w:lineRule="exact"/>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未建立购进查验制度以及记录扣0.25分；无三证扣0.25分。</w:t>
            </w:r>
          </w:p>
          <w:p w14:paraId="4743CE12">
            <w:pPr>
              <w:keepNext w:val="0"/>
              <w:keepLines w:val="0"/>
              <w:pageBreakBefore w:val="0"/>
              <w:widowControl/>
              <w:numPr>
                <w:ilvl w:val="0"/>
                <w:numId w:val="3"/>
              </w:numPr>
              <w:suppressLineNumbers w:val="0"/>
              <w:kinsoku/>
              <w:wordWrap/>
              <w:overflowPunct/>
              <w:topLinePunct w:val="0"/>
              <w:autoSpaceDE/>
              <w:autoSpaceDN/>
              <w:bidi w:val="0"/>
              <w:adjustRightInd/>
              <w:snapToGrid/>
              <w:spacing w:line="300" w:lineRule="exact"/>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未建立口腔植入及介入类医疗器械使用记录扣0.25分；未建立耗材条形码管理和告知扣0.25分。</w:t>
            </w:r>
          </w:p>
          <w:p w14:paraId="4619B2A4">
            <w:pPr>
              <w:keepNext w:val="0"/>
              <w:keepLines w:val="0"/>
              <w:pageBreakBefore w:val="0"/>
              <w:widowControl/>
              <w:numPr>
                <w:ilvl w:val="0"/>
                <w:numId w:val="3"/>
              </w:numPr>
              <w:suppressLineNumbers w:val="0"/>
              <w:kinsoku/>
              <w:wordWrap/>
              <w:overflowPunct/>
              <w:topLinePunct w:val="0"/>
              <w:autoSpaceDE/>
              <w:autoSpaceDN/>
              <w:bidi w:val="0"/>
              <w:adjustRightInd/>
              <w:snapToGrid/>
              <w:spacing w:line="300" w:lineRule="exact"/>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未建立医疗器械不良事件监管制度以及上报流程扣0.5分。</w:t>
            </w:r>
          </w:p>
          <w:p w14:paraId="6DF92DF1">
            <w:pPr>
              <w:keepNext w:val="0"/>
              <w:keepLines w:val="0"/>
              <w:pageBreakBefore w:val="0"/>
              <w:widowControl/>
              <w:numPr>
                <w:ilvl w:val="0"/>
                <w:numId w:val="3"/>
              </w:numPr>
              <w:suppressLineNumbers w:val="0"/>
              <w:kinsoku/>
              <w:wordWrap/>
              <w:overflowPunct/>
              <w:topLinePunct w:val="0"/>
              <w:autoSpaceDE/>
              <w:autoSpaceDN/>
              <w:bidi w:val="0"/>
              <w:adjustRightInd/>
              <w:snapToGrid/>
              <w:spacing w:line="300" w:lineRule="exact"/>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未按规定配备医疗器械质量管理人员扣0.5分；</w:t>
            </w:r>
            <w:r>
              <w:rPr>
                <w:rFonts w:hint="eastAsia" w:ascii="宋体" w:hAnsi="宋体" w:cs="宋体"/>
                <w:i w:val="0"/>
                <w:iCs w:val="0"/>
                <w:color w:val="auto"/>
                <w:sz w:val="18"/>
                <w:szCs w:val="18"/>
                <w:highlight w:val="none"/>
                <w:u w:val="none"/>
                <w:lang w:val="en-US" w:eastAsia="zh-CN"/>
              </w:rPr>
              <w:t>超期使用的设备无合格检测报告以及维护记录扣0.5分，超适用范围使用，扣0.5分。</w:t>
            </w:r>
          </w:p>
        </w:tc>
      </w:tr>
    </w:tbl>
    <w:p w14:paraId="33E2D1DD">
      <w:pPr>
        <w:numPr>
          <w:ilvl w:val="0"/>
          <w:numId w:val="0"/>
        </w:num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14:paraId="6E0A82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cs="宋体"/>
          <w:b w:val="0"/>
          <w:bCs/>
          <w:color w:val="auto"/>
          <w:sz w:val="32"/>
          <w:szCs w:val="32"/>
          <w:highlight w:val="none"/>
          <w:lang w:val="en-US" w:eastAsia="zh-CN"/>
        </w:rPr>
        <w:t>5</w:t>
      </w:r>
      <w:r>
        <w:rPr>
          <w:rFonts w:hint="eastAsia" w:ascii="宋体" w:hAnsi="宋体" w:eastAsia="宋体" w:cs="宋体"/>
          <w:b w:val="0"/>
          <w:bCs/>
          <w:color w:val="auto"/>
          <w:sz w:val="32"/>
          <w:szCs w:val="32"/>
          <w:highlight w:val="none"/>
          <w:lang w:val="en-US" w:eastAsia="zh-CN"/>
        </w:rPr>
        <w:t>.业务技术（4</w:t>
      </w:r>
      <w:r>
        <w:rPr>
          <w:rFonts w:hint="eastAsia" w:ascii="宋体" w:hAnsi="宋体" w:cs="宋体"/>
          <w:b w:val="0"/>
          <w:bCs/>
          <w:color w:val="auto"/>
          <w:sz w:val="32"/>
          <w:szCs w:val="32"/>
          <w:highlight w:val="none"/>
          <w:lang w:val="en-US" w:eastAsia="zh-CN"/>
        </w:rPr>
        <w:t>3</w:t>
      </w:r>
      <w:r>
        <w:rPr>
          <w:rFonts w:hint="eastAsia" w:ascii="宋体" w:hAnsi="宋体" w:eastAsia="宋体" w:cs="宋体"/>
          <w:b w:val="0"/>
          <w:bCs/>
          <w:color w:val="auto"/>
          <w:sz w:val="32"/>
          <w:szCs w:val="32"/>
          <w:highlight w:val="none"/>
          <w:lang w:val="en-US" w:eastAsia="zh-CN"/>
        </w:rPr>
        <w:t>分）</w:t>
      </w:r>
    </w:p>
    <w:tbl>
      <w:tblPr>
        <w:tblStyle w:val="3"/>
        <w:tblpPr w:leftFromText="180" w:rightFromText="180" w:vertAnchor="text" w:horzAnchor="page" w:tblpX="578" w:tblpY="178"/>
        <w:tblOverlap w:val="never"/>
        <w:tblW w:w="10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20"/>
      </w:tblGrid>
      <w:tr w14:paraId="34DAE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6" w:hRule="atLeast"/>
        </w:trPr>
        <w:tc>
          <w:tcPr>
            <w:tcW w:w="10720" w:type="dxa"/>
            <w:tcBorders>
              <w:top w:val="single" w:color="000000" w:sz="4" w:space="0"/>
              <w:left w:val="single" w:color="000000" w:sz="4" w:space="0"/>
              <w:bottom w:val="single" w:color="000000" w:sz="4" w:space="0"/>
              <w:right w:val="single" w:color="000000" w:sz="4" w:space="0"/>
            </w:tcBorders>
            <w:shd w:val="clear" w:color="auto" w:fill="auto"/>
            <w:vAlign w:val="top"/>
          </w:tcPr>
          <w:p w14:paraId="121E8FC3">
            <w:pPr>
              <w:keepNext w:val="0"/>
              <w:keepLines w:val="0"/>
              <w:widowControl/>
              <w:suppressLineNumbers w:val="0"/>
              <w:jc w:val="left"/>
              <w:textAlignment w:val="center"/>
              <w:rPr>
                <w:rFonts w:hint="eastAsia"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sz w:val="28"/>
                <w:szCs w:val="28"/>
                <w:highlight w:val="none"/>
                <w:u w:val="none"/>
                <w:lang w:val="en-US" w:eastAsia="zh-CN"/>
              </w:rPr>
              <w:t>说明：</w:t>
            </w:r>
          </w:p>
          <w:p w14:paraId="2F148DE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8"/>
                <w:szCs w:val="28"/>
                <w:highlight w:val="none"/>
                <w:u w:val="none"/>
                <w:lang w:val="en-US" w:eastAsia="zh-CN"/>
              </w:rPr>
            </w:pPr>
            <w:r>
              <w:rPr>
                <w:rFonts w:hint="eastAsia" w:ascii="宋体" w:hAnsi="宋体"/>
                <w:color w:val="auto"/>
                <w:sz w:val="28"/>
                <w:szCs w:val="28"/>
                <w:highlight w:val="none"/>
                <w:u w:val="none"/>
              </w:rPr>
              <w:t>（1）现场随机抽查本周期内门诊存档病历50份（被评估单位需提前准备在评估周期内完成的各个基本专科病例10份以上（即4×10份）+自选专科病例10份以上，共计50份以上病例的病历本作为现场评估材料；），备注：① 此次评估周期时间为“2025年7月1日至2026年6月30日”。②每个专科至少提供10份纸质病例，每减少1份病例该项专科得分扣0.</w:t>
            </w:r>
            <w:r>
              <w:rPr>
                <w:rFonts w:hint="eastAsia" w:ascii="宋体" w:hAnsi="宋体"/>
                <w:color w:val="auto"/>
                <w:sz w:val="28"/>
                <w:szCs w:val="28"/>
                <w:highlight w:val="none"/>
                <w:u w:val="none"/>
                <w:lang w:val="en-US" w:eastAsia="zh-CN"/>
              </w:rPr>
              <w:t>8</w:t>
            </w:r>
            <w:r>
              <w:rPr>
                <w:rFonts w:hint="eastAsia" w:ascii="宋体" w:hAnsi="宋体"/>
                <w:color w:val="auto"/>
                <w:sz w:val="28"/>
                <w:szCs w:val="28"/>
                <w:highlight w:val="none"/>
                <w:u w:val="none"/>
              </w:rPr>
              <w:t>分，扣完为止；提供周期内未完成的病历不得分。</w:t>
            </w:r>
          </w:p>
          <w:p w14:paraId="0C4120E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sz w:val="28"/>
                <w:szCs w:val="28"/>
                <w:highlight w:val="none"/>
                <w:u w:val="none"/>
                <w:lang w:val="en-US" w:eastAsia="zh-CN"/>
              </w:rPr>
              <w:t>（2）基本专科：“根管治疗”、“牙周治疗”、“拔牙（牙槽外科）”和“修复”，共4类专科。</w:t>
            </w:r>
          </w:p>
          <w:p w14:paraId="5481FB3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sz w:val="28"/>
                <w:szCs w:val="28"/>
                <w:highlight w:val="none"/>
                <w:u w:val="none"/>
                <w:lang w:val="en-US" w:eastAsia="zh-CN"/>
              </w:rPr>
              <w:t>（3）自选专科：“正畸”、“种植”和“美学修复病历”，共3类专科。单位可根据自身专科内容选择提供病历类型及数量（可重复专科），总数10以上病例。</w:t>
            </w:r>
          </w:p>
          <w:p w14:paraId="682B775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sz w:val="28"/>
                <w:szCs w:val="28"/>
                <w:highlight w:val="none"/>
                <w:u w:val="none"/>
                <w:lang w:val="en-US" w:eastAsia="zh-CN"/>
              </w:rPr>
              <w:t>（4）病历中发现有疑似过度医疗行为的，工作人员将对病历相关材料进行备案，由专家委员会进行评审。若确认该病历的过度医疗行为属实，业务技术按0分计算。</w:t>
            </w:r>
          </w:p>
          <w:p w14:paraId="2DD72B99">
            <w:pPr>
              <w:keepNext w:val="0"/>
              <w:keepLines w:val="0"/>
              <w:widowControl/>
              <w:suppressLineNumbers w:val="0"/>
              <w:ind w:left="0" w:leftChars="0" w:firstLine="0" w:firstLineChars="0"/>
              <w:jc w:val="left"/>
              <w:textAlignment w:val="center"/>
              <w:rPr>
                <w:rFonts w:hint="default"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i w:val="0"/>
                <w:iCs w:val="0"/>
                <w:color w:val="auto"/>
                <w:sz w:val="28"/>
                <w:szCs w:val="28"/>
                <w:highlight w:val="none"/>
                <w:u w:val="none"/>
                <w:lang w:val="en-US" w:eastAsia="zh-CN"/>
              </w:rPr>
              <w:t>（5）单一专科首份病历分值赋值100%，同一专科提供两份及以上病历，分值赋值按50%递减。例：每份病历获得8分的基础上，提供1份根管治疗病历、1份拔牙病历，即得分8分+8分=16分；提供2份根管治疗病历，即得分8分+8分*50%=12分；提供3份根管治疗病历即得分8分+8分*50%+8分*50%*50%=14分，以此类推。</w:t>
            </w:r>
          </w:p>
        </w:tc>
      </w:tr>
    </w:tbl>
    <w:p w14:paraId="28720FC7">
      <w:pPr>
        <w:keepNext w:val="0"/>
        <w:keepLines w:val="0"/>
        <w:widowControl/>
        <w:suppressLineNumbers w:val="0"/>
        <w:jc w:val="center"/>
        <w:textAlignment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br w:type="page"/>
      </w:r>
    </w:p>
    <w:tbl>
      <w:tblPr>
        <w:tblStyle w:val="3"/>
        <w:tblpPr w:leftFromText="180" w:rightFromText="180" w:vertAnchor="text" w:horzAnchor="page" w:tblpX="578" w:tblpY="1"/>
        <w:tblOverlap w:val="never"/>
        <w:tblW w:w="107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9"/>
        <w:gridCol w:w="3704"/>
        <w:gridCol w:w="750"/>
        <w:gridCol w:w="5384"/>
      </w:tblGrid>
      <w:tr w14:paraId="6645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9966">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C970">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kern w:val="0"/>
                <w:sz w:val="20"/>
                <w:szCs w:val="20"/>
                <w:highlight w:val="none"/>
                <w:u w:val="none"/>
                <w:lang w:val="en-US" w:eastAsia="zh-CN" w:bidi="ar"/>
              </w:rPr>
              <w:t>评分内容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1165">
            <w:pPr>
              <w:keepNext w:val="0"/>
              <w:keepLines w:val="0"/>
              <w:widowControl/>
              <w:suppressLineNumbers w:val="0"/>
              <w:jc w:val="center"/>
              <w:textAlignment w:val="center"/>
              <w:rPr>
                <w:rFonts w:hint="eastAsia" w:ascii="宋体" w:hAnsi="宋体" w:eastAsia="宋体" w:cs="宋体"/>
                <w:b/>
                <w:bCs/>
                <w:i w:val="0"/>
                <w:iCs w:val="0"/>
                <w:color w:val="auto"/>
                <w:kern w:val="2"/>
                <w:sz w:val="20"/>
                <w:szCs w:val="20"/>
                <w:highlight w:val="none"/>
                <w:u w:val="none"/>
                <w:lang w:val="en-US" w:eastAsia="zh-CN" w:bidi="ar-SA"/>
              </w:rPr>
            </w:pPr>
            <w:r>
              <w:rPr>
                <w:rFonts w:hint="eastAsia" w:ascii="宋体" w:hAnsi="宋体" w:eastAsia="宋体" w:cs="宋体"/>
                <w:b/>
                <w:bCs/>
                <w:i w:val="0"/>
                <w:iCs w:val="0"/>
                <w:color w:val="auto"/>
                <w:sz w:val="20"/>
                <w:szCs w:val="20"/>
                <w:highlight w:val="none"/>
                <w:u w:val="none"/>
                <w:lang w:val="en-US" w:eastAsia="zh-CN"/>
              </w:rPr>
              <w:t>分值</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7605">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评分说明</w:t>
            </w:r>
          </w:p>
        </w:tc>
      </w:tr>
      <w:tr w14:paraId="0AD6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9EEA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i w:val="0"/>
                <w:iCs w:val="0"/>
                <w:color w:val="auto"/>
                <w:sz w:val="24"/>
                <w:szCs w:val="24"/>
                <w:highlight w:val="none"/>
                <w:u w:val="none"/>
                <w:lang w:val="en-US" w:eastAsia="zh-CN"/>
              </w:rPr>
              <w:t>基本专科（32分）</w:t>
            </w:r>
          </w:p>
        </w:tc>
      </w:tr>
      <w:tr w14:paraId="3154A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1" w:hRule="atLeast"/>
        </w:trPr>
        <w:tc>
          <w:tcPr>
            <w:tcW w:w="919" w:type="dxa"/>
            <w:tcBorders>
              <w:top w:val="single" w:color="000000" w:sz="4" w:space="0"/>
              <w:left w:val="single" w:color="000000" w:sz="4" w:space="0"/>
              <w:right w:val="single" w:color="000000" w:sz="4" w:space="0"/>
            </w:tcBorders>
            <w:shd w:val="clear" w:color="auto" w:fill="auto"/>
            <w:vAlign w:val="center"/>
          </w:tcPr>
          <w:p w14:paraId="5C86C9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.1</w:t>
            </w:r>
          </w:p>
          <w:p w14:paraId="6B945E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根管治疗</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BC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w:t>
            </w:r>
          </w:p>
          <w:p w14:paraId="756B7D5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w:t>
            </w:r>
          </w:p>
          <w:p w14:paraId="6457B33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（3）充填效果。</w:t>
            </w:r>
          </w:p>
          <w:p w14:paraId="387E17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（4）术前、术中</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术后根尖片。</w:t>
            </w:r>
          </w:p>
          <w:p w14:paraId="5AF9A98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color w:val="auto"/>
                <w:highlight w:val="none"/>
                <w:lang w:val="en-US" w:eastAsia="zh-CN"/>
              </w:rPr>
            </w:pPr>
            <w:r>
              <w:rPr>
                <w:rFonts w:hint="eastAsia" w:ascii="宋体" w:hAnsi="宋体" w:eastAsia="宋体" w:cs="宋体"/>
                <w:i w:val="0"/>
                <w:iCs w:val="0"/>
                <w:color w:val="auto"/>
                <w:sz w:val="18"/>
                <w:szCs w:val="18"/>
                <w:highlight w:val="none"/>
                <w:u w:val="none"/>
                <w:lang w:val="en-US" w:eastAsia="zh-CN"/>
              </w:rPr>
              <w:t>（5）治疗后回访。</w:t>
            </w:r>
          </w:p>
        </w:tc>
        <w:tc>
          <w:tcPr>
            <w:tcW w:w="750" w:type="dxa"/>
            <w:tcBorders>
              <w:top w:val="single" w:color="000000" w:sz="4" w:space="0"/>
              <w:left w:val="single" w:color="000000" w:sz="4" w:space="0"/>
              <w:right w:val="single" w:color="000000" w:sz="4" w:space="0"/>
            </w:tcBorders>
            <w:shd w:val="clear" w:color="auto" w:fill="auto"/>
            <w:vAlign w:val="center"/>
          </w:tcPr>
          <w:p w14:paraId="4A06FB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2D4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（1）病历规范：初诊主诉、现病史、既往史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过敏史、检查、诊断、治疗计划、治疗记录、医嘱、诊断与治疗的逻辑合理性；复诊主要看各次记录是否完整，一共十项每项0.2分，有医生签名得0.5分。</w:t>
            </w:r>
          </w:p>
          <w:p w14:paraId="7377CD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无患者</w:t>
            </w:r>
            <w:r>
              <w:rPr>
                <w:rFonts w:hint="eastAsia" w:ascii="宋体" w:hAnsi="宋体" w:cs="宋体"/>
                <w:i w:val="0"/>
                <w:iCs w:val="0"/>
                <w:color w:val="auto"/>
                <w:sz w:val="18"/>
                <w:szCs w:val="18"/>
                <w:highlight w:val="none"/>
                <w:u w:val="none"/>
                <w:lang w:val="en-US" w:eastAsia="zh-CN"/>
              </w:rPr>
              <w:t>签名或无医生签名</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cs="宋体"/>
                <w:i w:val="0"/>
                <w:iCs w:val="0"/>
                <w:color w:val="auto"/>
                <w:sz w:val="18"/>
                <w:szCs w:val="18"/>
                <w:highlight w:val="none"/>
                <w:u w:val="none"/>
                <w:lang w:val="en-US" w:eastAsia="zh-CN"/>
              </w:rPr>
              <w:t>患者和医生同时</w:t>
            </w:r>
            <w:r>
              <w:rPr>
                <w:rFonts w:hint="eastAsia" w:ascii="宋体" w:hAnsi="宋体" w:eastAsia="宋体" w:cs="宋体"/>
                <w:i w:val="0"/>
                <w:iCs w:val="0"/>
                <w:color w:val="auto"/>
                <w:sz w:val="18"/>
                <w:szCs w:val="18"/>
                <w:highlight w:val="none"/>
                <w:u w:val="none"/>
                <w:lang w:val="en-US" w:eastAsia="zh-CN"/>
              </w:rPr>
              <w:t>有签名得1分。</w:t>
            </w:r>
          </w:p>
          <w:p w14:paraId="5ED4045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（3）充填在欠充大于3mm或超充扣1分的基础上增加“根尖1/3充填密实度低”扣1分、“根管冠方2/3充填密实度低”扣0.5分，2分扣完为止不超扣。</w:t>
            </w:r>
          </w:p>
          <w:p w14:paraId="04E8C9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（4）术前、术中根尖片各0.6分，术后根尖片0.8分，有片即给分。</w:t>
            </w:r>
          </w:p>
          <w:p w14:paraId="4527E81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（5）有嘱治疗后冠修复的记录，有准确同步回访记录，得0.5分。</w:t>
            </w:r>
          </w:p>
        </w:tc>
      </w:tr>
      <w:tr w14:paraId="0C052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8" w:hRule="atLeast"/>
        </w:trPr>
        <w:tc>
          <w:tcPr>
            <w:tcW w:w="919" w:type="dxa"/>
            <w:tcBorders>
              <w:top w:val="single" w:color="000000" w:sz="4" w:space="0"/>
              <w:left w:val="single" w:color="000000" w:sz="4" w:space="0"/>
              <w:right w:val="single" w:color="000000" w:sz="4" w:space="0"/>
            </w:tcBorders>
            <w:shd w:val="clear" w:color="auto" w:fill="auto"/>
            <w:vAlign w:val="center"/>
          </w:tcPr>
          <w:p w14:paraId="04F8F1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.2</w:t>
            </w:r>
          </w:p>
          <w:p w14:paraId="669652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牙槽</w:t>
            </w:r>
          </w:p>
          <w:p w14:paraId="356A8F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外科</w:t>
            </w:r>
          </w:p>
          <w:p w14:paraId="6F0BFC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（拔牙）</w:t>
            </w:r>
          </w:p>
        </w:tc>
        <w:tc>
          <w:tcPr>
            <w:tcW w:w="3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234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w:t>
            </w:r>
          </w:p>
          <w:p w14:paraId="268EF6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w:t>
            </w:r>
          </w:p>
          <w:p w14:paraId="19F9F72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（3）术前X光片。</w:t>
            </w:r>
          </w:p>
          <w:p w14:paraId="4D0C1D2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（4）术中记录、麻醉记录。</w:t>
            </w:r>
          </w:p>
          <w:p w14:paraId="3A163E6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（5）术后用药处方或术后医嘱。</w:t>
            </w:r>
          </w:p>
          <w:p w14:paraId="110929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（6）治疗后回访。</w:t>
            </w:r>
          </w:p>
        </w:tc>
        <w:tc>
          <w:tcPr>
            <w:tcW w:w="750" w:type="dxa"/>
            <w:tcBorders>
              <w:top w:val="single" w:color="000000" w:sz="4" w:space="0"/>
              <w:left w:val="single" w:color="000000" w:sz="4" w:space="0"/>
              <w:right w:val="single" w:color="000000" w:sz="4" w:space="0"/>
            </w:tcBorders>
            <w:shd w:val="clear" w:color="auto" w:fill="auto"/>
            <w:vAlign w:val="center"/>
          </w:tcPr>
          <w:p w14:paraId="4A7E3A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580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（1）初诊主诉、现病史、既往史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过敏史、检查、诊断、治疗计划、治疗记录、医嘱、诊断与治疗的逻辑合理性；复诊主要看各次记录是否完整，一共十项每项0.2分；符合拔牙规范的重要描述1分；有医生签名得0.5分。</w:t>
            </w:r>
          </w:p>
          <w:p w14:paraId="2D42E05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无患者</w:t>
            </w:r>
            <w:r>
              <w:rPr>
                <w:rFonts w:hint="eastAsia" w:ascii="宋体" w:hAnsi="宋体" w:cs="宋体"/>
                <w:i w:val="0"/>
                <w:iCs w:val="0"/>
                <w:color w:val="auto"/>
                <w:sz w:val="18"/>
                <w:szCs w:val="18"/>
                <w:highlight w:val="none"/>
                <w:u w:val="none"/>
                <w:lang w:val="en-US" w:eastAsia="zh-CN"/>
              </w:rPr>
              <w:t>签名或无医生签名</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cs="宋体"/>
                <w:i w:val="0"/>
                <w:iCs w:val="0"/>
                <w:color w:val="auto"/>
                <w:sz w:val="18"/>
                <w:szCs w:val="18"/>
                <w:highlight w:val="none"/>
                <w:u w:val="none"/>
                <w:lang w:val="en-US" w:eastAsia="zh-CN"/>
              </w:rPr>
              <w:t>患者和医生同时</w:t>
            </w:r>
            <w:r>
              <w:rPr>
                <w:rFonts w:hint="eastAsia" w:ascii="宋体" w:hAnsi="宋体" w:eastAsia="宋体" w:cs="宋体"/>
                <w:i w:val="0"/>
                <w:iCs w:val="0"/>
                <w:color w:val="auto"/>
                <w:sz w:val="18"/>
                <w:szCs w:val="18"/>
                <w:highlight w:val="none"/>
                <w:u w:val="none"/>
                <w:lang w:val="en-US" w:eastAsia="zh-CN"/>
              </w:rPr>
              <w:t>有签名得1分。</w:t>
            </w:r>
          </w:p>
          <w:p w14:paraId="64B4796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（3）有术前X光片，得1分。</w:t>
            </w:r>
          </w:p>
          <w:p w14:paraId="45E0EB6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（4）有术中记录、麻醉记录各得0.5分，共1分。</w:t>
            </w:r>
          </w:p>
          <w:p w14:paraId="25BA95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（5）术后用药处方或术后医嘱，得1分。</w:t>
            </w:r>
          </w:p>
          <w:p w14:paraId="245852F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（6）有准确同步回访记录，得0.5分。</w:t>
            </w:r>
          </w:p>
        </w:tc>
      </w:tr>
      <w:tr w14:paraId="2DF07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5" w:hRule="atLeast"/>
        </w:trPr>
        <w:tc>
          <w:tcPr>
            <w:tcW w:w="919" w:type="dxa"/>
            <w:tcBorders>
              <w:top w:val="single" w:color="000000" w:sz="4" w:space="0"/>
              <w:left w:val="single" w:color="000000" w:sz="4" w:space="0"/>
              <w:bottom w:val="single" w:color="auto" w:sz="4" w:space="0"/>
              <w:right w:val="single" w:color="000000" w:sz="4" w:space="0"/>
            </w:tcBorders>
            <w:shd w:val="clear" w:color="auto" w:fill="auto"/>
            <w:vAlign w:val="center"/>
          </w:tcPr>
          <w:p w14:paraId="663108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.3</w:t>
            </w:r>
          </w:p>
          <w:p w14:paraId="279241CE">
            <w:pPr>
              <w:keepNext w:val="0"/>
              <w:keepLines w:val="0"/>
              <w:pageBreakBefore w:val="0"/>
              <w:widowControl/>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修复</w:t>
            </w:r>
          </w:p>
        </w:tc>
        <w:tc>
          <w:tcPr>
            <w:tcW w:w="3704" w:type="dxa"/>
            <w:tcBorders>
              <w:top w:val="single" w:color="000000" w:sz="4" w:space="0"/>
              <w:left w:val="single" w:color="000000" w:sz="4" w:space="0"/>
              <w:bottom w:val="single" w:color="auto" w:sz="4" w:space="0"/>
              <w:right w:val="single" w:color="000000" w:sz="4" w:space="0"/>
            </w:tcBorders>
            <w:shd w:val="clear" w:color="auto" w:fill="auto"/>
            <w:vAlign w:val="center"/>
          </w:tcPr>
          <w:p w14:paraId="4E8EA73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w:t>
            </w:r>
          </w:p>
          <w:p w14:paraId="36C2D49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w:t>
            </w:r>
          </w:p>
          <w:p w14:paraId="26716F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（3）咬合记录。</w:t>
            </w:r>
          </w:p>
          <w:p w14:paraId="1CEDD0E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（4）修复设计单。</w:t>
            </w:r>
          </w:p>
          <w:p w14:paraId="4AE0FE7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（5）印模，数字化模型。</w:t>
            </w:r>
          </w:p>
          <w:p w14:paraId="7CC51A9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（6）治疗后回访。</w:t>
            </w:r>
          </w:p>
        </w:tc>
        <w:tc>
          <w:tcPr>
            <w:tcW w:w="750" w:type="dxa"/>
            <w:tcBorders>
              <w:top w:val="single" w:color="000000" w:sz="4" w:space="0"/>
              <w:left w:val="single" w:color="000000" w:sz="4" w:space="0"/>
              <w:bottom w:val="single" w:color="auto" w:sz="4" w:space="0"/>
              <w:right w:val="single" w:color="000000" w:sz="4" w:space="0"/>
            </w:tcBorders>
            <w:shd w:val="clear" w:color="auto" w:fill="auto"/>
            <w:vAlign w:val="center"/>
          </w:tcPr>
          <w:p w14:paraId="28A964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w:t>
            </w:r>
          </w:p>
        </w:tc>
        <w:tc>
          <w:tcPr>
            <w:tcW w:w="53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C99FC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（1）初诊主诉、现病史、既往史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过敏史、检查、诊断、治疗计划、治疗记录、医嘱、诊断与治疗的逻辑合理性；复诊主要看各次记录是否完整，一共十项每项0.</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分；有医生签名得0.5分。</w:t>
            </w:r>
          </w:p>
          <w:p w14:paraId="1076A72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无患者</w:t>
            </w:r>
            <w:r>
              <w:rPr>
                <w:rFonts w:hint="eastAsia" w:ascii="宋体" w:hAnsi="宋体" w:cs="宋体"/>
                <w:i w:val="0"/>
                <w:iCs w:val="0"/>
                <w:color w:val="auto"/>
                <w:sz w:val="18"/>
                <w:szCs w:val="18"/>
                <w:highlight w:val="none"/>
                <w:u w:val="none"/>
                <w:lang w:val="en-US" w:eastAsia="zh-CN"/>
              </w:rPr>
              <w:t>签名或无医生签名</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cs="宋体"/>
                <w:i w:val="0"/>
                <w:iCs w:val="0"/>
                <w:color w:val="auto"/>
                <w:sz w:val="18"/>
                <w:szCs w:val="18"/>
                <w:highlight w:val="none"/>
                <w:u w:val="none"/>
                <w:lang w:val="en-US" w:eastAsia="zh-CN"/>
              </w:rPr>
              <w:t>患者和医生同时</w:t>
            </w:r>
            <w:r>
              <w:rPr>
                <w:rFonts w:hint="eastAsia" w:ascii="宋体" w:hAnsi="宋体" w:eastAsia="宋体" w:cs="宋体"/>
                <w:i w:val="0"/>
                <w:iCs w:val="0"/>
                <w:color w:val="auto"/>
                <w:sz w:val="18"/>
                <w:szCs w:val="18"/>
                <w:highlight w:val="none"/>
                <w:u w:val="none"/>
                <w:lang w:val="en-US" w:eastAsia="zh-CN"/>
              </w:rPr>
              <w:t>有签名得1分。</w:t>
            </w:r>
          </w:p>
          <w:p w14:paraId="4200E59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（3）有咬合记录，得0.5分。</w:t>
            </w:r>
          </w:p>
          <w:p w14:paraId="205BEA5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（4）设计单有</w:t>
            </w:r>
            <w:r>
              <w:rPr>
                <w:rFonts w:hint="eastAsia" w:ascii="宋体" w:hAnsi="宋体" w:cs="宋体"/>
                <w:i w:val="0"/>
                <w:iCs w:val="0"/>
                <w:color w:val="auto"/>
                <w:sz w:val="18"/>
                <w:szCs w:val="18"/>
                <w:highlight w:val="none"/>
                <w:u w:val="none"/>
                <w:lang w:val="en-US" w:eastAsia="zh-CN"/>
              </w:rPr>
              <w:t>年龄、性别等</w:t>
            </w:r>
            <w:r>
              <w:rPr>
                <w:rFonts w:hint="eastAsia" w:ascii="宋体" w:hAnsi="宋体" w:eastAsia="宋体" w:cs="宋体"/>
                <w:i w:val="0"/>
                <w:iCs w:val="0"/>
                <w:color w:val="auto"/>
                <w:sz w:val="18"/>
                <w:szCs w:val="18"/>
                <w:highlight w:val="none"/>
                <w:u w:val="none"/>
                <w:lang w:val="en-US" w:eastAsia="zh-CN"/>
              </w:rPr>
              <w:t>基本信息，得0.3分；修复材质准确清晰描述，得0.2分；颜色、咬合设计、边缘设计、设计图等修复设计，得1分；缺少重要信息扣0.1分，1分扣完为止。</w:t>
            </w:r>
          </w:p>
          <w:p w14:paraId="1127CB5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（5）①固定：肩台清楚，得0.4分，轴角光滑，得0.3分，咬合空间足够，得0.3分。②活动：黏膜基牙组织面清晰，得0.4分，边缘延展足够，得0.3分，关键位置无气泡，得0.3分。</w:t>
            </w:r>
          </w:p>
          <w:p w14:paraId="50080AD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（6）有准确同步回访记录，得0.5分。</w:t>
            </w:r>
          </w:p>
        </w:tc>
      </w:tr>
      <w:tr w14:paraId="52213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5" w:hRule="atLeast"/>
        </w:trPr>
        <w:tc>
          <w:tcPr>
            <w:tcW w:w="919" w:type="dxa"/>
            <w:tcBorders>
              <w:top w:val="single" w:color="auto" w:sz="4" w:space="0"/>
              <w:left w:val="single" w:color="auto" w:sz="4" w:space="0"/>
              <w:bottom w:val="single" w:color="auto" w:sz="4" w:space="0"/>
              <w:right w:val="single" w:color="000000" w:sz="4" w:space="0"/>
            </w:tcBorders>
            <w:shd w:val="clear" w:color="auto" w:fill="auto"/>
            <w:vAlign w:val="center"/>
          </w:tcPr>
          <w:p w14:paraId="40D76D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.4</w:t>
            </w:r>
          </w:p>
          <w:p w14:paraId="5A816AD2">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牙周</w:t>
            </w:r>
          </w:p>
          <w:p w14:paraId="1EFFB23D">
            <w:pPr>
              <w:keepNext w:val="0"/>
              <w:keepLines w:val="0"/>
              <w:pageBreakBefore w:val="0"/>
              <w:widowControl/>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治疗</w:t>
            </w:r>
          </w:p>
        </w:tc>
        <w:tc>
          <w:tcPr>
            <w:tcW w:w="3704" w:type="dxa"/>
            <w:tcBorders>
              <w:top w:val="single" w:color="auto" w:sz="4" w:space="0"/>
              <w:left w:val="single" w:color="000000" w:sz="4" w:space="0"/>
              <w:bottom w:val="single" w:color="auto" w:sz="4" w:space="0"/>
              <w:right w:val="single" w:color="000000" w:sz="4" w:space="0"/>
            </w:tcBorders>
            <w:shd w:val="clear" w:color="auto" w:fill="auto"/>
            <w:vAlign w:val="center"/>
          </w:tcPr>
          <w:p w14:paraId="3FC1A07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w:t>
            </w:r>
          </w:p>
          <w:p w14:paraId="046ADA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w:t>
            </w:r>
          </w:p>
          <w:p w14:paraId="2C7DA8B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（3）口腔卫生宣教。</w:t>
            </w:r>
          </w:p>
          <w:p w14:paraId="1568CBE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（4）洁治、刮治记录。</w:t>
            </w:r>
          </w:p>
          <w:p w14:paraId="0FE5ED1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（5）治疗前、后牙周大表。</w:t>
            </w:r>
          </w:p>
          <w:p w14:paraId="2CF76D7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（6）术前、术后X光片。</w:t>
            </w:r>
          </w:p>
          <w:p w14:paraId="021C249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（7）治疗后回访。</w:t>
            </w:r>
          </w:p>
        </w:tc>
        <w:tc>
          <w:tcPr>
            <w:tcW w:w="750" w:type="dxa"/>
            <w:tcBorders>
              <w:top w:val="single" w:color="auto" w:sz="4" w:space="0"/>
              <w:left w:val="single" w:color="000000" w:sz="4" w:space="0"/>
              <w:bottom w:val="single" w:color="auto" w:sz="4" w:space="0"/>
              <w:right w:val="single" w:color="000000" w:sz="4" w:space="0"/>
            </w:tcBorders>
            <w:shd w:val="clear" w:color="auto" w:fill="auto"/>
            <w:vAlign w:val="center"/>
          </w:tcPr>
          <w:p w14:paraId="1E0FC64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8</w:t>
            </w:r>
          </w:p>
        </w:tc>
        <w:tc>
          <w:tcPr>
            <w:tcW w:w="5384" w:type="dxa"/>
            <w:tcBorders>
              <w:top w:val="single" w:color="auto" w:sz="4" w:space="0"/>
              <w:left w:val="single" w:color="000000" w:sz="4" w:space="0"/>
              <w:bottom w:val="single" w:color="auto" w:sz="4" w:space="0"/>
              <w:right w:val="single" w:color="auto" w:sz="4" w:space="0"/>
            </w:tcBorders>
            <w:shd w:val="clear" w:color="auto" w:fill="auto"/>
            <w:vAlign w:val="center"/>
          </w:tcPr>
          <w:p w14:paraId="7B78EF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（1）初诊主诉、现病史、既往史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过敏史、检查、诊断、治疗计划、治疗记录、医嘱、诊断与治疗的逻辑合理性；复诊主要看各次记录是否完整，一共十项每项0.2分；有医生签名得0.5分。</w:t>
            </w:r>
          </w:p>
          <w:p w14:paraId="496EA15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无患者</w:t>
            </w:r>
            <w:r>
              <w:rPr>
                <w:rFonts w:hint="eastAsia" w:ascii="宋体" w:hAnsi="宋体" w:cs="宋体"/>
                <w:i w:val="0"/>
                <w:iCs w:val="0"/>
                <w:color w:val="auto"/>
                <w:sz w:val="18"/>
                <w:szCs w:val="18"/>
                <w:highlight w:val="none"/>
                <w:u w:val="none"/>
                <w:lang w:val="en-US" w:eastAsia="zh-CN"/>
              </w:rPr>
              <w:t>签名或无医生签名</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cs="宋体"/>
                <w:i w:val="0"/>
                <w:iCs w:val="0"/>
                <w:color w:val="auto"/>
                <w:sz w:val="18"/>
                <w:szCs w:val="18"/>
                <w:highlight w:val="none"/>
                <w:u w:val="none"/>
                <w:lang w:val="en-US" w:eastAsia="zh-CN"/>
              </w:rPr>
              <w:t>患者和医生同时</w:t>
            </w:r>
            <w:r>
              <w:rPr>
                <w:rFonts w:hint="eastAsia" w:ascii="宋体" w:hAnsi="宋体" w:eastAsia="宋体" w:cs="宋体"/>
                <w:i w:val="0"/>
                <w:iCs w:val="0"/>
                <w:color w:val="auto"/>
                <w:sz w:val="18"/>
                <w:szCs w:val="18"/>
                <w:highlight w:val="none"/>
                <w:u w:val="none"/>
                <w:lang w:val="en-US" w:eastAsia="zh-CN"/>
              </w:rPr>
              <w:t>有签名得1分。</w:t>
            </w:r>
          </w:p>
          <w:p w14:paraId="55AE7B7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（3）有口腔卫生宣教，得1分。</w:t>
            </w:r>
          </w:p>
          <w:p w14:paraId="7A6F609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（4）有洁治、刮治记录，得1分。</w:t>
            </w:r>
          </w:p>
          <w:p w14:paraId="0D970E0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（5）有治疗前、后牙周大表，得1分。</w:t>
            </w:r>
          </w:p>
          <w:p w14:paraId="3A4DCCE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（6）有术前、术后X光片，得1分。</w:t>
            </w:r>
          </w:p>
          <w:p w14:paraId="00E170A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（7）有准确同步回访记录，得0.5分。</w:t>
            </w:r>
          </w:p>
        </w:tc>
      </w:tr>
    </w:tbl>
    <w:p w14:paraId="0E2D04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br w:type="page"/>
      </w:r>
    </w:p>
    <w:tbl>
      <w:tblPr>
        <w:tblStyle w:val="3"/>
        <w:tblpPr w:leftFromText="180" w:rightFromText="180" w:vertAnchor="text" w:horzAnchor="page" w:tblpX="578" w:tblpY="1"/>
        <w:tblOverlap w:val="never"/>
        <w:tblW w:w="10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9"/>
        <w:gridCol w:w="3725"/>
        <w:gridCol w:w="733"/>
        <w:gridCol w:w="5423"/>
      </w:tblGrid>
      <w:tr w14:paraId="1DF2D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EF20">
            <w:pPr>
              <w:keepNext w:val="0"/>
              <w:keepLines w:val="0"/>
              <w:widowControl/>
              <w:suppressLineNumbers w:val="0"/>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3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4B25">
            <w:pPr>
              <w:keepNext w:val="0"/>
              <w:keepLines w:val="0"/>
              <w:widowControl/>
              <w:suppressLineNumbers w:val="0"/>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Times New Roman"/>
                <w:b/>
                <w:color w:val="auto"/>
                <w:kern w:val="0"/>
                <w:sz w:val="20"/>
                <w:szCs w:val="20"/>
                <w:highlight w:val="none"/>
                <w:lang w:val="en-US" w:eastAsia="zh-CN"/>
              </w:rPr>
              <w:t>评分内容</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E680">
            <w:pPr>
              <w:keepNext w:val="0"/>
              <w:keepLines w:val="0"/>
              <w:widowControl/>
              <w:suppressLineNumbers w:val="0"/>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Times New Roman"/>
                <w:b/>
                <w:color w:val="auto"/>
                <w:kern w:val="0"/>
                <w:sz w:val="20"/>
                <w:szCs w:val="20"/>
                <w:highlight w:val="none"/>
                <w:lang w:val="en-US" w:eastAsia="zh-CN"/>
              </w:rPr>
              <w:t>分值</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CCB8">
            <w:pPr>
              <w:keepNext w:val="0"/>
              <w:keepLines w:val="0"/>
              <w:widowControl/>
              <w:suppressLineNumbers w:val="0"/>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Times New Roman"/>
                <w:b/>
                <w:color w:val="auto"/>
                <w:kern w:val="0"/>
                <w:sz w:val="20"/>
                <w:szCs w:val="20"/>
                <w:highlight w:val="none"/>
                <w:lang w:val="en-US" w:eastAsia="zh-CN"/>
              </w:rPr>
              <w:t>评分说明</w:t>
            </w:r>
          </w:p>
        </w:tc>
      </w:tr>
      <w:tr w14:paraId="1C853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8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601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24"/>
                <w:szCs w:val="24"/>
                <w:highlight w:val="none"/>
                <w:u w:val="none"/>
                <w:lang w:val="en-US" w:eastAsia="zh-CN"/>
              </w:rPr>
              <w:t>自选专科（8分）</w:t>
            </w:r>
          </w:p>
        </w:tc>
      </w:tr>
      <w:tr w14:paraId="0D70B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4" w:hRule="atLeast"/>
        </w:trPr>
        <w:tc>
          <w:tcPr>
            <w:tcW w:w="919" w:type="dxa"/>
            <w:tcBorders>
              <w:top w:val="single" w:color="000000" w:sz="4" w:space="0"/>
              <w:left w:val="single" w:color="000000" w:sz="4" w:space="0"/>
              <w:right w:val="single" w:color="000000" w:sz="4" w:space="0"/>
            </w:tcBorders>
            <w:shd w:val="clear" w:color="auto" w:fill="auto"/>
            <w:vAlign w:val="center"/>
          </w:tcPr>
          <w:p w14:paraId="0FF1239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.5</w:t>
            </w:r>
          </w:p>
          <w:p w14:paraId="7205544D">
            <w:pPr>
              <w:keepNext w:val="0"/>
              <w:keepLines w:val="0"/>
              <w:pageBreakBefore w:val="0"/>
              <w:widowControl/>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正畸</w:t>
            </w:r>
          </w:p>
        </w:tc>
        <w:tc>
          <w:tcPr>
            <w:tcW w:w="3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E4B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w:t>
            </w:r>
          </w:p>
          <w:p w14:paraId="6F8D960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w:t>
            </w:r>
          </w:p>
          <w:p w14:paraId="167A3F3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（3）全景片、头侧位X线片、颞下颌关节片。</w:t>
            </w:r>
          </w:p>
          <w:p w14:paraId="0FC49C8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（4）模型和头影测量分析。</w:t>
            </w:r>
          </w:p>
          <w:p w14:paraId="6FB8A75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（5）治疗前、治疗中、治疗后照片。</w:t>
            </w:r>
          </w:p>
          <w:p w14:paraId="5D0980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（6）治疗后回访。</w:t>
            </w:r>
          </w:p>
        </w:tc>
        <w:tc>
          <w:tcPr>
            <w:tcW w:w="733" w:type="dxa"/>
            <w:tcBorders>
              <w:top w:val="single" w:color="000000" w:sz="4" w:space="0"/>
              <w:left w:val="single" w:color="000000" w:sz="4" w:space="0"/>
              <w:right w:val="single" w:color="000000" w:sz="4" w:space="0"/>
            </w:tcBorders>
            <w:shd w:val="clear" w:color="auto" w:fill="auto"/>
            <w:vAlign w:val="center"/>
          </w:tcPr>
          <w:p w14:paraId="07C1A2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295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（1）初诊主诉、现病史、既往史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过敏史、检查、诊断、治疗计划、治疗记录、医嘱、诊断与治疗的逻辑合理性；复诊主要看各次记录是否完整，一共十项每项0.2分；</w:t>
            </w:r>
            <w:r>
              <w:rPr>
                <w:rFonts w:hint="eastAsia" w:ascii="宋体" w:hAnsi="宋体" w:eastAsia="宋体" w:cs="宋体"/>
                <w:color w:val="auto"/>
                <w:sz w:val="20"/>
                <w:szCs w:val="20"/>
                <w:highlight w:val="none"/>
              </w:rPr>
              <w:t>不良习惯、肌肉功能、呼吸道检查、生长发育、关节检查</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各0.2分</w:t>
            </w:r>
            <w:r>
              <w:rPr>
                <w:rFonts w:hint="eastAsia" w:ascii="宋体" w:hAnsi="宋体" w:eastAsia="宋体" w:cs="宋体"/>
                <w:color w:val="auto"/>
                <w:sz w:val="20"/>
                <w:szCs w:val="20"/>
                <w:highlight w:val="none"/>
                <w:lang w:eastAsia="zh-CN"/>
              </w:rPr>
              <w:t>；</w:t>
            </w:r>
            <w:r>
              <w:rPr>
                <w:rFonts w:hint="eastAsia" w:ascii="宋体" w:hAnsi="宋体" w:eastAsia="宋体" w:cs="宋体"/>
                <w:i w:val="0"/>
                <w:iCs w:val="0"/>
                <w:color w:val="auto"/>
                <w:sz w:val="18"/>
                <w:szCs w:val="18"/>
                <w:highlight w:val="none"/>
                <w:u w:val="none"/>
                <w:lang w:val="en-US" w:eastAsia="zh-CN"/>
              </w:rPr>
              <w:t>有医生签名得0.5分。</w:t>
            </w:r>
          </w:p>
          <w:p w14:paraId="1DE367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无患者</w:t>
            </w:r>
            <w:r>
              <w:rPr>
                <w:rFonts w:hint="eastAsia" w:ascii="宋体" w:hAnsi="宋体" w:cs="宋体"/>
                <w:i w:val="0"/>
                <w:iCs w:val="0"/>
                <w:color w:val="auto"/>
                <w:sz w:val="18"/>
                <w:szCs w:val="18"/>
                <w:highlight w:val="none"/>
                <w:u w:val="none"/>
                <w:lang w:val="en-US" w:eastAsia="zh-CN"/>
              </w:rPr>
              <w:t>签名或无医生签名</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cs="宋体"/>
                <w:i w:val="0"/>
                <w:iCs w:val="0"/>
                <w:color w:val="auto"/>
                <w:sz w:val="18"/>
                <w:szCs w:val="18"/>
                <w:highlight w:val="none"/>
                <w:u w:val="none"/>
                <w:lang w:val="en-US" w:eastAsia="zh-CN"/>
              </w:rPr>
              <w:t>患者和医生同时</w:t>
            </w:r>
            <w:r>
              <w:rPr>
                <w:rFonts w:hint="eastAsia" w:ascii="宋体" w:hAnsi="宋体" w:eastAsia="宋体" w:cs="宋体"/>
                <w:i w:val="0"/>
                <w:iCs w:val="0"/>
                <w:color w:val="auto"/>
                <w:sz w:val="18"/>
                <w:szCs w:val="18"/>
                <w:highlight w:val="none"/>
                <w:u w:val="none"/>
                <w:lang w:val="en-US" w:eastAsia="zh-CN"/>
              </w:rPr>
              <w:t>有签名得1分。</w:t>
            </w:r>
          </w:p>
          <w:p w14:paraId="53B926A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（3）有全景片得0.3分，有头侧位X线片得0.4分，有颞下颌关节片得0.3分。</w:t>
            </w:r>
          </w:p>
          <w:p w14:paraId="5546861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（4）有模型和头影测量分析，各得0.5分，共1分。（可提供数字画模型）</w:t>
            </w:r>
          </w:p>
          <w:p w14:paraId="0ACACE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（5）有治疗前、后照片各得0.4分，有治疗中照片得0.2分。</w:t>
            </w:r>
          </w:p>
          <w:p w14:paraId="5D85B25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（6）有准确同步回访记录，得0.5分。</w:t>
            </w:r>
          </w:p>
        </w:tc>
      </w:tr>
      <w:tr w14:paraId="18347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3" w:hRule="atLeast"/>
        </w:trPr>
        <w:tc>
          <w:tcPr>
            <w:tcW w:w="919" w:type="dxa"/>
            <w:tcBorders>
              <w:top w:val="single" w:color="000000" w:sz="4" w:space="0"/>
              <w:left w:val="single" w:color="000000" w:sz="4" w:space="0"/>
              <w:right w:val="single" w:color="000000" w:sz="4" w:space="0"/>
            </w:tcBorders>
            <w:shd w:val="clear" w:color="auto" w:fill="auto"/>
            <w:vAlign w:val="center"/>
          </w:tcPr>
          <w:p w14:paraId="2C58028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.6</w:t>
            </w:r>
          </w:p>
          <w:p w14:paraId="554425A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美学</w:t>
            </w:r>
          </w:p>
          <w:p w14:paraId="51B3F2F9">
            <w:pPr>
              <w:keepNext w:val="0"/>
              <w:keepLines w:val="0"/>
              <w:pageBreakBefore w:val="0"/>
              <w:widowControl/>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修复</w:t>
            </w:r>
          </w:p>
        </w:tc>
        <w:tc>
          <w:tcPr>
            <w:tcW w:w="3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7BB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w:t>
            </w:r>
          </w:p>
          <w:p w14:paraId="7E72E84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w:t>
            </w:r>
          </w:p>
          <w:p w14:paraId="4710391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（3）研究模型和诊断蜡型。</w:t>
            </w:r>
          </w:p>
          <w:p w14:paraId="4876A26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（4）治疗结果。</w:t>
            </w:r>
          </w:p>
          <w:p w14:paraId="125E7E5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（5）临床照片术前、术中、术后。</w:t>
            </w:r>
          </w:p>
          <w:p w14:paraId="241FEC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（6）治疗后回访。</w:t>
            </w:r>
          </w:p>
        </w:tc>
        <w:tc>
          <w:tcPr>
            <w:tcW w:w="733" w:type="dxa"/>
            <w:tcBorders>
              <w:top w:val="single" w:color="000000" w:sz="4" w:space="0"/>
              <w:left w:val="single" w:color="000000" w:sz="4" w:space="0"/>
              <w:right w:val="single" w:color="000000" w:sz="4" w:space="0"/>
            </w:tcBorders>
            <w:shd w:val="clear" w:color="auto" w:fill="auto"/>
            <w:vAlign w:val="center"/>
          </w:tcPr>
          <w:p w14:paraId="202DC0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943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（1）初诊主诉、现病史、既往史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过敏史、检查、诊断、治疗计划、治疗记录、医嘱、诊断与治疗的逻辑合理性；复诊主要看各次记录是否完整，一共十项每项0.2分；有医生签名得0.5分。</w:t>
            </w:r>
          </w:p>
          <w:p w14:paraId="5C2CC2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无患者</w:t>
            </w:r>
            <w:r>
              <w:rPr>
                <w:rFonts w:hint="eastAsia" w:ascii="宋体" w:hAnsi="宋体" w:cs="宋体"/>
                <w:i w:val="0"/>
                <w:iCs w:val="0"/>
                <w:color w:val="auto"/>
                <w:sz w:val="18"/>
                <w:szCs w:val="18"/>
                <w:highlight w:val="none"/>
                <w:u w:val="none"/>
                <w:lang w:val="en-US" w:eastAsia="zh-CN"/>
              </w:rPr>
              <w:t>签名或无医生签名</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cs="宋体"/>
                <w:i w:val="0"/>
                <w:iCs w:val="0"/>
                <w:color w:val="auto"/>
                <w:sz w:val="18"/>
                <w:szCs w:val="18"/>
                <w:highlight w:val="none"/>
                <w:u w:val="none"/>
                <w:lang w:val="en-US" w:eastAsia="zh-CN"/>
              </w:rPr>
              <w:t>患者和医生同时</w:t>
            </w:r>
            <w:r>
              <w:rPr>
                <w:rFonts w:hint="eastAsia" w:ascii="宋体" w:hAnsi="宋体" w:eastAsia="宋体" w:cs="宋体"/>
                <w:i w:val="0"/>
                <w:iCs w:val="0"/>
                <w:color w:val="auto"/>
                <w:sz w:val="18"/>
                <w:szCs w:val="18"/>
                <w:highlight w:val="none"/>
                <w:u w:val="none"/>
                <w:lang w:val="en-US" w:eastAsia="zh-CN"/>
              </w:rPr>
              <w:t>有签名得1分。</w:t>
            </w:r>
          </w:p>
          <w:p w14:paraId="7880FB3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（3）研究模型得0.5分，诊断蜡型得1分。（可提供数字化模型）</w:t>
            </w:r>
          </w:p>
          <w:p w14:paraId="04A80C1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（4）治疗结果查看美学效果、边缘、功能，完整各得0.5分，共1.5分。</w:t>
            </w:r>
          </w:p>
          <w:p w14:paraId="45AB95D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（5）有术前、术后照片各得0.3分，有术中照片得0.4分。</w:t>
            </w:r>
          </w:p>
          <w:p w14:paraId="4219EAE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（6）有准确同步回访记录，得0.5分。</w:t>
            </w:r>
          </w:p>
        </w:tc>
      </w:tr>
      <w:tr w14:paraId="3459B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502" w:hRule="atLeast"/>
        </w:trPr>
        <w:tc>
          <w:tcPr>
            <w:tcW w:w="919" w:type="dxa"/>
            <w:tcBorders>
              <w:top w:val="single" w:color="000000" w:sz="4" w:space="0"/>
              <w:left w:val="single" w:color="000000" w:sz="4" w:space="0"/>
              <w:right w:val="single" w:color="000000" w:sz="4" w:space="0"/>
            </w:tcBorders>
            <w:shd w:val="clear" w:color="auto" w:fill="auto"/>
            <w:vAlign w:val="center"/>
          </w:tcPr>
          <w:p w14:paraId="0A9C432D">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.7</w:t>
            </w:r>
          </w:p>
          <w:p w14:paraId="18A3E39F">
            <w:pPr>
              <w:keepNext w:val="0"/>
              <w:keepLines w:val="0"/>
              <w:pageBreakBefore w:val="0"/>
              <w:widowControl/>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种植</w:t>
            </w:r>
          </w:p>
        </w:tc>
        <w:tc>
          <w:tcPr>
            <w:tcW w:w="3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A30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（1）病历规范。</w:t>
            </w:r>
          </w:p>
          <w:p w14:paraId="610DDDF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w:t>
            </w:r>
          </w:p>
          <w:p w14:paraId="593049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（3）查看术前、一期手术后、修复后的X光片。</w:t>
            </w:r>
          </w:p>
          <w:p w14:paraId="17DE13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（4）研究模型和CBCT。</w:t>
            </w:r>
          </w:p>
          <w:p w14:paraId="76C1412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（5）临床照片术前、术中、术后。</w:t>
            </w:r>
          </w:p>
          <w:p w14:paraId="119ABDC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（6）治疗后回访。</w:t>
            </w:r>
          </w:p>
        </w:tc>
        <w:tc>
          <w:tcPr>
            <w:tcW w:w="733" w:type="dxa"/>
            <w:tcBorders>
              <w:top w:val="single" w:color="000000" w:sz="4" w:space="0"/>
              <w:left w:val="single" w:color="000000" w:sz="4" w:space="0"/>
              <w:right w:val="single" w:color="000000" w:sz="4" w:space="0"/>
            </w:tcBorders>
            <w:shd w:val="clear" w:color="auto" w:fill="auto"/>
            <w:vAlign w:val="center"/>
          </w:tcPr>
          <w:p w14:paraId="754691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w:t>
            </w:r>
          </w:p>
        </w:tc>
        <w:tc>
          <w:tcPr>
            <w:tcW w:w="54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BB1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（1）初诊主诉、现病史、既往史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过敏史、检查、诊断、治疗计划、治疗记录、医嘱、诊断与治疗的逻辑合理性；复诊主要看各次记录是否完整，一共十项每项0.2分；有医生签名得0.5分。</w:t>
            </w:r>
          </w:p>
          <w:p w14:paraId="2655A07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（2）治疗计划</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知情同意书</w:t>
            </w:r>
            <w:r>
              <w:rPr>
                <w:rFonts w:hint="eastAsia" w:ascii="宋体" w:hAnsi="宋体" w:cs="宋体"/>
                <w:i w:val="0"/>
                <w:iCs w:val="0"/>
                <w:color w:val="auto"/>
                <w:sz w:val="18"/>
                <w:szCs w:val="18"/>
                <w:highlight w:val="none"/>
                <w:u w:val="none"/>
                <w:lang w:val="en-US" w:eastAsia="zh-CN"/>
              </w:rPr>
              <w:t>及替代方案，</w:t>
            </w:r>
            <w:r>
              <w:rPr>
                <w:rFonts w:hint="eastAsia" w:ascii="宋体" w:hAnsi="宋体" w:eastAsia="宋体" w:cs="宋体"/>
                <w:i w:val="0"/>
                <w:iCs w:val="0"/>
                <w:color w:val="auto"/>
                <w:sz w:val="18"/>
                <w:szCs w:val="18"/>
                <w:highlight w:val="none"/>
                <w:u w:val="none"/>
                <w:lang w:val="en-US" w:eastAsia="zh-CN"/>
              </w:rPr>
              <w:t>无患者</w:t>
            </w:r>
            <w:r>
              <w:rPr>
                <w:rFonts w:hint="eastAsia" w:ascii="宋体" w:hAnsi="宋体" w:cs="宋体"/>
                <w:i w:val="0"/>
                <w:iCs w:val="0"/>
                <w:color w:val="auto"/>
                <w:sz w:val="18"/>
                <w:szCs w:val="18"/>
                <w:highlight w:val="none"/>
                <w:u w:val="none"/>
                <w:lang w:val="en-US" w:eastAsia="zh-CN"/>
              </w:rPr>
              <w:t>签名或无医生签名</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cs="宋体"/>
                <w:i w:val="0"/>
                <w:iCs w:val="0"/>
                <w:color w:val="auto"/>
                <w:sz w:val="18"/>
                <w:szCs w:val="18"/>
                <w:highlight w:val="none"/>
                <w:u w:val="none"/>
                <w:lang w:val="en-US" w:eastAsia="zh-CN"/>
              </w:rPr>
              <w:t>患者和医生同时</w:t>
            </w:r>
            <w:r>
              <w:rPr>
                <w:rFonts w:hint="eastAsia" w:ascii="宋体" w:hAnsi="宋体" w:eastAsia="宋体" w:cs="宋体"/>
                <w:i w:val="0"/>
                <w:iCs w:val="0"/>
                <w:color w:val="auto"/>
                <w:sz w:val="18"/>
                <w:szCs w:val="18"/>
                <w:highlight w:val="none"/>
                <w:u w:val="none"/>
                <w:lang w:val="en-US" w:eastAsia="zh-CN"/>
              </w:rPr>
              <w:t>有签名得1分。</w:t>
            </w:r>
          </w:p>
          <w:p w14:paraId="56905A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（3）查看术前X光片0.8分，一期手术后和修复后的X光片各0.6分。</w:t>
            </w:r>
          </w:p>
          <w:p w14:paraId="76F558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（4）研究模型和CBCT，共1分。（可提供数字化模型）</w:t>
            </w:r>
          </w:p>
          <w:p w14:paraId="70705BE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（5）有术前、术后照片各得0.3分，有术中照片得0.4分。</w:t>
            </w:r>
          </w:p>
          <w:p w14:paraId="0BDAF01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（6）有准确同步回访记录，得0.5分。</w:t>
            </w:r>
          </w:p>
        </w:tc>
      </w:tr>
      <w:tr w14:paraId="5324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800" w:type="dxa"/>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186989D5">
            <w:pPr>
              <w:keepNext w:val="0"/>
              <w:keepLines w:val="0"/>
              <w:pageBreakBefore w:val="0"/>
              <w:widowControl/>
              <w:suppressLineNumbers w:val="0"/>
              <w:tabs>
                <w:tab w:val="left" w:pos="8435"/>
              </w:tabs>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急救考核（</w:t>
            </w:r>
            <w:r>
              <w:rPr>
                <w:rFonts w:hint="eastAsia" w:ascii="宋体" w:hAnsi="宋体" w:cs="宋体"/>
                <w:i w:val="0"/>
                <w:iCs w:val="0"/>
                <w:color w:val="auto"/>
                <w:sz w:val="24"/>
                <w:szCs w:val="24"/>
                <w:highlight w:val="none"/>
                <w:u w:val="none"/>
                <w:lang w:val="en-US" w:eastAsia="zh-CN"/>
              </w:rPr>
              <w:t>3</w:t>
            </w:r>
            <w:r>
              <w:rPr>
                <w:rFonts w:hint="eastAsia" w:ascii="宋体" w:hAnsi="宋体" w:eastAsia="宋体" w:cs="宋体"/>
                <w:i w:val="0"/>
                <w:iCs w:val="0"/>
                <w:color w:val="auto"/>
                <w:sz w:val="24"/>
                <w:szCs w:val="24"/>
                <w:highlight w:val="none"/>
                <w:u w:val="none"/>
                <w:lang w:val="en-US" w:eastAsia="zh-CN"/>
              </w:rPr>
              <w:t>分）</w:t>
            </w:r>
          </w:p>
        </w:tc>
      </w:tr>
      <w:tr w14:paraId="6ED63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2" w:hRule="atLeast"/>
        </w:trPr>
        <w:tc>
          <w:tcPr>
            <w:tcW w:w="919" w:type="dxa"/>
            <w:tcBorders>
              <w:top w:val="single" w:color="auto" w:sz="4" w:space="0"/>
              <w:left w:val="single" w:color="auto" w:sz="4" w:space="0"/>
              <w:bottom w:val="single" w:color="auto" w:sz="4" w:space="0"/>
              <w:right w:val="single" w:color="000000" w:sz="4" w:space="0"/>
            </w:tcBorders>
            <w:shd w:val="clear" w:color="auto" w:fill="auto"/>
            <w:vAlign w:val="center"/>
          </w:tcPr>
          <w:p w14:paraId="4241C34A">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.8</w:t>
            </w:r>
          </w:p>
          <w:p w14:paraId="494FF62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急救</w:t>
            </w:r>
          </w:p>
          <w:p w14:paraId="0B792E8F">
            <w:pPr>
              <w:keepNext w:val="0"/>
              <w:keepLines w:val="0"/>
              <w:pageBreakBefore w:val="0"/>
              <w:widowControl/>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考核</w:t>
            </w:r>
          </w:p>
        </w:tc>
        <w:tc>
          <w:tcPr>
            <w:tcW w:w="3725" w:type="dxa"/>
            <w:tcBorders>
              <w:top w:val="single" w:color="auto" w:sz="4" w:space="0"/>
              <w:left w:val="single" w:color="000000" w:sz="4" w:space="0"/>
              <w:bottom w:val="single" w:color="auto" w:sz="4" w:space="0"/>
              <w:right w:val="single" w:color="000000" w:sz="4" w:space="0"/>
            </w:tcBorders>
            <w:shd w:val="clear" w:color="auto" w:fill="auto"/>
            <w:vAlign w:val="center"/>
          </w:tcPr>
          <w:p w14:paraId="418153C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急救考核（抽查医护人员急救操作流程），查看急救设施。</w:t>
            </w:r>
          </w:p>
        </w:tc>
        <w:tc>
          <w:tcPr>
            <w:tcW w:w="733" w:type="dxa"/>
            <w:tcBorders>
              <w:top w:val="single" w:color="auto" w:sz="4" w:space="0"/>
              <w:left w:val="single" w:color="000000" w:sz="4" w:space="0"/>
              <w:bottom w:val="single" w:color="auto" w:sz="4" w:space="0"/>
              <w:right w:val="single" w:color="000000" w:sz="4" w:space="0"/>
            </w:tcBorders>
            <w:shd w:val="clear" w:color="auto" w:fill="auto"/>
            <w:vAlign w:val="center"/>
          </w:tcPr>
          <w:p w14:paraId="49F223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p>
        </w:tc>
        <w:tc>
          <w:tcPr>
            <w:tcW w:w="5423" w:type="dxa"/>
            <w:tcBorders>
              <w:top w:val="single" w:color="auto" w:sz="4" w:space="0"/>
              <w:left w:val="single" w:color="000000" w:sz="4" w:space="0"/>
              <w:bottom w:val="single" w:color="auto" w:sz="4" w:space="0"/>
              <w:right w:val="single" w:color="auto" w:sz="4" w:space="0"/>
            </w:tcBorders>
            <w:shd w:val="clear" w:color="auto" w:fill="auto"/>
            <w:vAlign w:val="center"/>
          </w:tcPr>
          <w:p w14:paraId="21557DD7">
            <w:pPr>
              <w:keepNext w:val="0"/>
              <w:keepLines w:val="0"/>
              <w:pageBreakBefore w:val="0"/>
              <w:widowControl/>
              <w:suppressLineNumbers w:val="0"/>
              <w:tabs>
                <w:tab w:val="left" w:pos="611"/>
              </w:tabs>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（1）提问急救流程</w:t>
            </w:r>
            <w:r>
              <w:rPr>
                <w:rFonts w:hint="eastAsia" w:ascii="宋体" w:hAnsi="宋体" w:cs="宋体"/>
                <w:i w:val="0"/>
                <w:iCs w:val="0"/>
                <w:color w:val="auto"/>
                <w:sz w:val="18"/>
                <w:szCs w:val="18"/>
                <w:highlight w:val="none"/>
                <w:u w:val="none"/>
                <w:lang w:val="en-US" w:eastAsia="zh-CN"/>
              </w:rPr>
              <w:t>回答不全扣</w:t>
            </w:r>
            <w:r>
              <w:rPr>
                <w:rFonts w:hint="eastAsia" w:ascii="宋体" w:hAnsi="宋体" w:eastAsia="宋体" w:cs="宋体"/>
                <w:i w:val="0"/>
                <w:iCs w:val="0"/>
                <w:color w:val="auto"/>
                <w:sz w:val="18"/>
                <w:szCs w:val="18"/>
                <w:highlight w:val="none"/>
                <w:u w:val="none"/>
                <w:lang w:val="en-US" w:eastAsia="zh-CN"/>
              </w:rPr>
              <w:t>1分</w:t>
            </w:r>
            <w:r>
              <w:rPr>
                <w:rFonts w:hint="eastAsia" w:ascii="宋体" w:hAnsi="宋体" w:cs="宋体"/>
                <w:i w:val="0"/>
                <w:iCs w:val="0"/>
                <w:color w:val="auto"/>
                <w:sz w:val="18"/>
                <w:szCs w:val="18"/>
                <w:highlight w:val="none"/>
                <w:u w:val="none"/>
                <w:lang w:val="en-US" w:eastAsia="zh-CN"/>
              </w:rPr>
              <w:t>，回答错误扣2分</w:t>
            </w:r>
            <w:r>
              <w:rPr>
                <w:rFonts w:hint="eastAsia" w:ascii="宋体" w:hAnsi="宋体" w:eastAsia="宋体" w:cs="宋体"/>
                <w:i w:val="0"/>
                <w:iCs w:val="0"/>
                <w:color w:val="auto"/>
                <w:sz w:val="18"/>
                <w:szCs w:val="18"/>
                <w:highlight w:val="none"/>
                <w:u w:val="none"/>
                <w:lang w:val="en-US" w:eastAsia="zh-CN"/>
              </w:rPr>
              <w:t>；</w:t>
            </w:r>
          </w:p>
          <w:p w14:paraId="746A3582">
            <w:pPr>
              <w:keepNext w:val="0"/>
              <w:keepLines w:val="0"/>
              <w:pageBreakBefore w:val="0"/>
              <w:widowControl/>
              <w:suppressLineNumbers w:val="0"/>
              <w:tabs>
                <w:tab w:val="left" w:pos="611"/>
              </w:tabs>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（2）查看急救药品是否在有效期内0.5分，药品是否齐全0.5分。</w:t>
            </w:r>
          </w:p>
        </w:tc>
      </w:tr>
    </w:tbl>
    <w:p w14:paraId="7CCE01A9">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14:paraId="058444F5">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b w:val="0"/>
          <w:bCs/>
          <w:color w:val="auto"/>
          <w:sz w:val="32"/>
          <w:szCs w:val="32"/>
          <w:highlight w:val="none"/>
          <w:lang w:val="en-US" w:eastAsia="zh-CN"/>
        </w:rPr>
        <w:t>6</w:t>
      </w:r>
      <w:r>
        <w:rPr>
          <w:rFonts w:hint="eastAsia" w:ascii="宋体" w:hAnsi="宋体" w:eastAsia="宋体" w:cs="宋体"/>
          <w:b w:val="0"/>
          <w:bCs/>
          <w:color w:val="auto"/>
          <w:sz w:val="32"/>
          <w:szCs w:val="32"/>
          <w:highlight w:val="none"/>
          <w:lang w:val="en-US" w:eastAsia="zh-CN"/>
        </w:rPr>
        <w:t>.感染预防与控制评议标准（30分）</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14:paraId="55066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109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11071E">
            <w:pPr>
              <w:numPr>
                <w:ilvl w:val="0"/>
                <w:numId w:val="0"/>
              </w:numPr>
              <w:ind w:left="0" w:leftChars="0" w:firstLine="0" w:firstLineChars="0"/>
              <w:jc w:val="left"/>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val="0"/>
                <w:bCs/>
                <w:color w:val="auto"/>
                <w:kern w:val="0"/>
                <w:sz w:val="20"/>
                <w:szCs w:val="20"/>
                <w:highlight w:val="none"/>
                <w:lang w:val="en-US" w:eastAsia="zh-CN"/>
              </w:rPr>
              <w:t>说明:本项标准总分为100分，最终得分=标准分*30%。</w:t>
            </w:r>
          </w:p>
        </w:tc>
      </w:tr>
      <w:tr w14:paraId="7E045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91AB">
            <w:pPr>
              <w:numPr>
                <w:ilvl w:val="0"/>
                <w:numId w:val="0"/>
              </w:numPr>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ACA7">
            <w:pPr>
              <w:numPr>
                <w:ilvl w:val="0"/>
                <w:numId w:val="0"/>
              </w:numPr>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1537">
            <w:pPr>
              <w:numPr>
                <w:ilvl w:val="0"/>
                <w:numId w:val="0"/>
              </w:numPr>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70B3">
            <w:pPr>
              <w:numPr>
                <w:ilvl w:val="0"/>
                <w:numId w:val="0"/>
              </w:numPr>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14:paraId="3D1A9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9" w:hRule="atLeast"/>
        </w:trPr>
        <w:tc>
          <w:tcPr>
            <w:tcW w:w="1134" w:type="dxa"/>
            <w:vMerge w:val="restart"/>
            <w:tcBorders>
              <w:top w:val="single" w:color="000000" w:sz="4" w:space="0"/>
              <w:left w:val="single" w:color="000000" w:sz="4" w:space="0"/>
              <w:right w:val="single" w:color="000000" w:sz="4" w:space="0"/>
            </w:tcBorders>
            <w:shd w:val="clear" w:color="auto" w:fill="auto"/>
            <w:vAlign w:val="center"/>
          </w:tcPr>
          <w:p w14:paraId="3DE346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.1</w:t>
            </w:r>
          </w:p>
          <w:p w14:paraId="16B0F8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制度管理</w:t>
            </w:r>
          </w:p>
          <w:p w14:paraId="6C1E7A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35D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文件制度</w:t>
            </w:r>
            <w:r>
              <w:rPr>
                <w:rFonts w:hint="eastAsia" w:ascii="宋体" w:hAnsi="宋体" w:cs="宋体"/>
                <w:i w:val="0"/>
                <w:iCs w:val="0"/>
                <w:color w:val="auto"/>
                <w:sz w:val="18"/>
                <w:szCs w:val="18"/>
                <w:highlight w:val="none"/>
                <w:u w:val="none"/>
                <w:lang w:eastAsia="zh-CN"/>
              </w:rPr>
              <w:t>完备</w:t>
            </w:r>
            <w:r>
              <w:rPr>
                <w:rFonts w:hint="eastAsia" w:ascii="宋体" w:hAnsi="宋体" w:eastAsia="宋体" w:cs="宋体"/>
                <w:i w:val="0"/>
                <w:iCs w:val="0"/>
                <w:color w:val="auto"/>
                <w:sz w:val="18"/>
                <w:szCs w:val="18"/>
                <w:highlight w:val="none"/>
                <w:u w:val="none"/>
              </w:rPr>
              <w:t>齐全</w:t>
            </w:r>
            <w:r>
              <w:rPr>
                <w:rFonts w:hint="eastAsia" w:ascii="宋体" w:hAnsi="宋体" w:eastAsia="宋体" w:cs="宋体"/>
                <w:i w:val="0"/>
                <w:iCs w:val="0"/>
                <w:color w:val="auto"/>
                <w:sz w:val="18"/>
                <w:szCs w:val="18"/>
                <w:highlight w:val="none"/>
                <w:u w:val="none"/>
                <w:lang w:val="en-US" w:eastAsia="zh-CN"/>
              </w:rPr>
              <w:t>。</w:t>
            </w:r>
          </w:p>
          <w:p w14:paraId="74A888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结合医疗机构实际情况制定适配本机构的医院感染管理规章制度及工作流程，核查相关核心制度与工作流程（如消毒隔离制度、手卫生管理制度、医务人员职业暴露管理制度、医疗废物管理制度、环境卫生学监测制度</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77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F07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b w:val="0"/>
                <w:bCs w:val="0"/>
                <w:color w:val="auto"/>
                <w:highlight w:val="none"/>
                <w:lang w:eastAsia="zh-CN"/>
              </w:rPr>
            </w:pPr>
            <w:r>
              <w:rPr>
                <w:rFonts w:hint="eastAsia" w:ascii="宋体" w:hAnsi="宋体" w:eastAsia="宋体" w:cs="宋体"/>
                <w:b w:val="0"/>
                <w:bCs w:val="0"/>
                <w:i w:val="0"/>
                <w:iCs w:val="0"/>
                <w:color w:val="auto"/>
                <w:sz w:val="18"/>
                <w:szCs w:val="18"/>
                <w:highlight w:val="none"/>
                <w:u w:val="none"/>
                <w:lang w:val="en-US" w:eastAsia="zh-CN"/>
              </w:rPr>
              <w:t>实地核查，查阅相关资料。</w:t>
            </w:r>
          </w:p>
          <w:p w14:paraId="2FBB01B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（1）制度不健全或明显为照搬版本，与本机构实际情况不符或存在缺项，每项扣0.5分。</w:t>
            </w:r>
          </w:p>
          <w:p w14:paraId="36457B9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（2）无相关制度及资料，本项不得分。</w:t>
            </w:r>
          </w:p>
        </w:tc>
      </w:tr>
      <w:tr w14:paraId="6BEF6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1" w:hRule="atLeast"/>
        </w:trPr>
        <w:tc>
          <w:tcPr>
            <w:tcW w:w="1134" w:type="dxa"/>
            <w:vMerge w:val="continue"/>
            <w:tcBorders>
              <w:left w:val="single" w:color="000000" w:sz="4" w:space="0"/>
              <w:bottom w:val="single" w:color="000000" w:sz="4" w:space="0"/>
              <w:right w:val="single" w:color="000000" w:sz="4" w:space="0"/>
            </w:tcBorders>
            <w:shd w:val="clear" w:color="auto" w:fill="auto"/>
            <w:vAlign w:val="center"/>
          </w:tcPr>
          <w:p w14:paraId="159963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CB5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（1）健全医院感染管理组织架构，设</w:t>
            </w:r>
            <w:r>
              <w:rPr>
                <w:rFonts w:hint="eastAsia" w:ascii="宋体" w:hAnsi="宋体" w:cs="宋体"/>
                <w:i w:val="0"/>
                <w:iCs w:val="0"/>
                <w:color w:val="auto"/>
                <w:sz w:val="18"/>
                <w:szCs w:val="18"/>
                <w:highlight w:val="none"/>
                <w:u w:val="none"/>
                <w:lang w:val="en-US" w:eastAsia="zh-CN"/>
              </w:rPr>
              <w:t>立</w:t>
            </w:r>
            <w:r>
              <w:rPr>
                <w:rFonts w:hint="eastAsia" w:ascii="宋体" w:hAnsi="宋体" w:eastAsia="宋体" w:cs="宋体"/>
                <w:i w:val="0"/>
                <w:iCs w:val="0"/>
                <w:color w:val="auto"/>
                <w:sz w:val="18"/>
                <w:szCs w:val="18"/>
                <w:highlight w:val="none"/>
                <w:u w:val="none"/>
                <w:lang w:val="en-US" w:eastAsia="zh-CN"/>
              </w:rPr>
              <w:t>院感管理小组并明确职责，实行负责人负责制，由院感管理专兼职人员承担感染管理以及业务技术咨询、指导工作。</w:t>
            </w:r>
          </w:p>
          <w:p w14:paraId="2D755AB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（2）需制定院感管理年度工作计划与总结</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主要负责人每年召开院感专题会议不少于2次，需留存解决院感相关问题的会议记录。</w:t>
            </w:r>
          </w:p>
          <w:p w14:paraId="7E2B1A6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（3）定期开展院感自查，对发现的问题留存记录并落实持续改进措施。</w:t>
            </w:r>
          </w:p>
          <w:p w14:paraId="3AE27F7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落实感控风险评估制度 ：医疗机构及其科室、部门应当建立并实施根据风险评估结果开展感染高危人员筛查的工作机制，根据所开展诊疗活动的特点，定期开展感控风险评估。明确影响本机构感控的主要风险因素和优先干预次序。</w:t>
            </w:r>
          </w:p>
          <w:p w14:paraId="24B4A72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落实侵入性器械/操作相关感染防控制度：建立本机构诊疗活动中使用的侵入性诊疗器械名录；制订并实施临床使用各类侵入性诊疗器械相关感染防控的具体措施；开展临床使用侵入性诊疗器械相关感染防控措施执行依从性监测；根据病例及干预措施依从性监测数据进行持续质量改进。</w:t>
            </w:r>
            <w:r>
              <w:rPr>
                <w:rFonts w:hint="eastAsia" w:ascii="宋体" w:hAnsi="宋体" w:eastAsia="宋体" w:cs="宋体"/>
                <w:color w:val="auto"/>
                <w:sz w:val="18"/>
                <w:szCs w:val="18"/>
                <w:highlight w:val="none"/>
                <w:u w:val="none"/>
                <w:shd w:val="clear" w:color="auto" w:fill="auto"/>
                <w:lang w:eastAsia="zh-CN"/>
              </w:rPr>
              <w:t>构建感控的主要风险因素和优先干预次序。</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AA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EDA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w:t>
            </w:r>
            <w:r>
              <w:rPr>
                <w:rFonts w:hint="eastAsia" w:ascii="宋体" w:hAnsi="宋体" w:cs="宋体"/>
                <w:i w:val="0"/>
                <w:iCs w:val="0"/>
                <w:color w:val="auto"/>
                <w:sz w:val="18"/>
                <w:szCs w:val="18"/>
                <w:highlight w:val="none"/>
                <w:u w:val="none"/>
                <w:lang w:val="en-US" w:eastAsia="zh-CN"/>
              </w:rPr>
              <w:t>相关</w:t>
            </w:r>
            <w:r>
              <w:rPr>
                <w:rFonts w:hint="eastAsia" w:ascii="宋体" w:hAnsi="宋体" w:eastAsia="宋体" w:cs="宋体"/>
                <w:i w:val="0"/>
                <w:iCs w:val="0"/>
                <w:color w:val="auto"/>
                <w:sz w:val="18"/>
                <w:szCs w:val="18"/>
                <w:highlight w:val="none"/>
                <w:u w:val="none"/>
                <w:lang w:val="en-US" w:eastAsia="zh-CN"/>
              </w:rPr>
              <w:t>资料。</w:t>
            </w:r>
          </w:p>
          <w:p w14:paraId="5570CC3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（1）组织</w:t>
            </w:r>
            <w:r>
              <w:rPr>
                <w:rFonts w:hint="eastAsia" w:ascii="宋体" w:hAnsi="宋体" w:cs="宋体"/>
                <w:i w:val="0"/>
                <w:iCs w:val="0"/>
                <w:color w:val="auto"/>
                <w:sz w:val="18"/>
                <w:szCs w:val="18"/>
                <w:highlight w:val="none"/>
                <w:u w:val="none"/>
                <w:lang w:val="en-US" w:eastAsia="zh-CN"/>
              </w:rPr>
              <w:t>架构</w:t>
            </w:r>
            <w:r>
              <w:rPr>
                <w:rFonts w:hint="eastAsia" w:ascii="宋体" w:hAnsi="宋体" w:eastAsia="宋体" w:cs="宋体"/>
                <w:i w:val="0"/>
                <w:iCs w:val="0"/>
                <w:color w:val="auto"/>
                <w:sz w:val="18"/>
                <w:szCs w:val="18"/>
                <w:highlight w:val="none"/>
                <w:u w:val="none"/>
                <w:lang w:val="en-US" w:eastAsia="zh-CN"/>
              </w:rPr>
              <w:t>不健全，扣1分；不符合要求扣0.5分。</w:t>
            </w:r>
          </w:p>
          <w:p w14:paraId="0228E77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（2）未制定年度工作计划与总结扣0.5分，每年专题会议少1次扣0.5分；会议记录未针对本机构院感问题扣1分。</w:t>
            </w:r>
          </w:p>
          <w:p w14:paraId="524348D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（3）未开展院感自查、无记录扣1分。</w:t>
            </w:r>
          </w:p>
          <w:p w14:paraId="0EA5954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（4）未制定风险评估相关制度、未留存对应资料，每项扣0.5分。</w:t>
            </w:r>
          </w:p>
          <w:p w14:paraId="74B6145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（5）未制定感染监测相关制度及措施、未留存对应资料，每项扣0.5分。</w:t>
            </w:r>
          </w:p>
        </w:tc>
      </w:tr>
      <w:tr w14:paraId="21C8F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2"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01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.2</w:t>
            </w:r>
          </w:p>
          <w:p w14:paraId="7D21F5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岗位职责</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0D1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（1）明确院感</w:t>
            </w:r>
            <w:r>
              <w:rPr>
                <w:rFonts w:hint="eastAsia" w:ascii="宋体" w:hAnsi="宋体" w:cs="宋体"/>
                <w:i w:val="0"/>
                <w:iCs w:val="0"/>
                <w:color w:val="auto"/>
                <w:sz w:val="18"/>
                <w:szCs w:val="18"/>
                <w:highlight w:val="none"/>
                <w:u w:val="none"/>
                <w:lang w:val="en-US" w:eastAsia="zh-CN"/>
              </w:rPr>
              <w:t>二</w:t>
            </w:r>
            <w:r>
              <w:rPr>
                <w:rFonts w:hint="eastAsia" w:ascii="宋体" w:hAnsi="宋体" w:eastAsia="宋体" w:cs="宋体"/>
                <w:i w:val="0"/>
                <w:iCs w:val="0"/>
                <w:color w:val="auto"/>
                <w:sz w:val="18"/>
                <w:szCs w:val="18"/>
                <w:highlight w:val="none"/>
                <w:u w:val="none"/>
                <w:lang w:val="en-US" w:eastAsia="zh-CN"/>
              </w:rPr>
              <w:t>级组织架构人员（负责人、护士长和院感质控医生、质控护士）的岗位职责。</w:t>
            </w:r>
          </w:p>
          <w:p w14:paraId="2DD37D6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明确</w:t>
            </w:r>
            <w:r>
              <w:rPr>
                <w:rFonts w:hint="eastAsia" w:ascii="宋体" w:hAnsi="宋体" w:eastAsia="宋体" w:cs="宋体"/>
                <w:i w:val="0"/>
                <w:iCs w:val="0"/>
                <w:color w:val="auto"/>
                <w:sz w:val="18"/>
                <w:szCs w:val="18"/>
                <w:highlight w:val="none"/>
                <w:u w:val="none"/>
                <w:lang w:val="en-US" w:eastAsia="zh-CN"/>
              </w:rPr>
              <w:t>消毒供应室人员、保洁员</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医务、护理、检验、后勤人员在医院感染管理中的岗位职责。</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83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36B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实地核查，查阅相关资料。</w:t>
            </w:r>
          </w:p>
          <w:p w14:paraId="179C706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（1）未制定岗位职责扣2分。</w:t>
            </w:r>
          </w:p>
          <w:p w14:paraId="7901150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color w:val="auto"/>
                <w:kern w:val="0"/>
                <w:sz w:val="18"/>
                <w:szCs w:val="18"/>
                <w:highlight w:val="none"/>
                <w:lang w:val="en-US" w:eastAsia="zh-CN"/>
              </w:rPr>
              <w:t>（2）岗位职责不健全或明显为照搬版本，与本机构实际情况不相符，每项扣0.5分；</w:t>
            </w:r>
            <w:r>
              <w:rPr>
                <w:rFonts w:hint="eastAsia" w:ascii="宋体" w:hAnsi="宋体" w:eastAsia="宋体" w:cs="宋体"/>
                <w:i w:val="0"/>
                <w:iCs w:val="0"/>
                <w:color w:val="auto"/>
                <w:sz w:val="18"/>
                <w:szCs w:val="18"/>
                <w:highlight w:val="none"/>
                <w:u w:val="none"/>
                <w:lang w:val="en-US" w:eastAsia="zh-CN"/>
              </w:rPr>
              <w:t>未提供相关资料，本项不得分。</w:t>
            </w:r>
          </w:p>
        </w:tc>
      </w:tr>
      <w:tr w14:paraId="21301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5C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.3</w:t>
            </w:r>
          </w:p>
          <w:p w14:paraId="43BBD4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培训考核</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7A5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（1）制定</w:t>
            </w:r>
            <w:r>
              <w:rPr>
                <w:rFonts w:hint="eastAsia" w:ascii="宋体" w:hAnsi="宋体" w:cs="宋体"/>
                <w:i w:val="0"/>
                <w:iCs w:val="0"/>
                <w:color w:val="auto"/>
                <w:sz w:val="18"/>
                <w:szCs w:val="18"/>
                <w:highlight w:val="none"/>
                <w:u w:val="none"/>
                <w:lang w:val="en-US" w:eastAsia="zh-CN"/>
              </w:rPr>
              <w:t>覆盖全体工作</w:t>
            </w:r>
            <w:r>
              <w:rPr>
                <w:rFonts w:hint="eastAsia" w:ascii="宋体" w:hAnsi="宋体" w:eastAsia="宋体" w:cs="宋体"/>
                <w:i w:val="0"/>
                <w:iCs w:val="0"/>
                <w:color w:val="auto"/>
                <w:sz w:val="18"/>
                <w:szCs w:val="18"/>
                <w:highlight w:val="none"/>
                <w:u w:val="none"/>
                <w:lang w:val="en-US" w:eastAsia="zh-CN"/>
              </w:rPr>
              <w:t>人员（含非医务人员）的院感培训计划、大纲及内容。</w:t>
            </w:r>
          </w:p>
          <w:p w14:paraId="40FF221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（2）定期开展院感知识培训，每季度至少1次，培训记录须包含计划、内容、照片、签名、考核或效果评价</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院感专兼职人员应当参加上级部门或质控中心及行业协会组织的院感知识相关活动。</w:t>
            </w:r>
          </w:p>
          <w:p w14:paraId="42331BB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）新入职员工必须完成岗前院感培训，留存培训记录，涵盖计划、内容、现场照片、参训人员签名、考核结果或效果评价。</w:t>
            </w:r>
          </w:p>
          <w:p w14:paraId="0FBD708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开展</w:t>
            </w:r>
            <w:r>
              <w:rPr>
                <w:rFonts w:hint="eastAsia" w:ascii="宋体" w:hAnsi="宋体" w:eastAsia="宋体" w:cs="宋体"/>
                <w:i w:val="0"/>
                <w:iCs w:val="0"/>
                <w:color w:val="auto"/>
                <w:sz w:val="18"/>
                <w:szCs w:val="18"/>
                <w:highlight w:val="none"/>
                <w:u w:val="none"/>
                <w:lang w:val="en-US" w:eastAsia="zh-CN"/>
              </w:rPr>
              <w:t>医疗废物相关知识考核。</w:t>
            </w:r>
          </w:p>
          <w:p w14:paraId="0ED99F5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①提供培训计划资料，含参训签名、现场照片、培训内容、考核评价；</w:t>
            </w:r>
          </w:p>
          <w:p w14:paraId="43EB37B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②随机抽查1名医生和1名护士，考核</w:t>
            </w:r>
            <w:r>
              <w:rPr>
                <w:rFonts w:hint="eastAsia" w:ascii="宋体" w:hAnsi="宋体" w:cs="宋体"/>
                <w:i w:val="0"/>
                <w:iCs w:val="0"/>
                <w:color w:val="auto"/>
                <w:sz w:val="18"/>
                <w:szCs w:val="18"/>
                <w:highlight w:val="none"/>
                <w:u w:val="none"/>
                <w:lang w:val="en-US" w:eastAsia="zh-CN"/>
              </w:rPr>
              <w:t>医疗废物</w:t>
            </w:r>
            <w:r>
              <w:rPr>
                <w:rFonts w:hint="eastAsia" w:ascii="宋体" w:hAnsi="宋体" w:eastAsia="宋体" w:cs="宋体"/>
                <w:i w:val="0"/>
                <w:iCs w:val="0"/>
                <w:color w:val="auto"/>
                <w:sz w:val="18"/>
                <w:szCs w:val="18"/>
                <w:highlight w:val="none"/>
                <w:u w:val="none"/>
                <w:lang w:val="en-US" w:eastAsia="zh-CN"/>
              </w:rPr>
              <w:t>分类与交接</w:t>
            </w:r>
            <w:r>
              <w:rPr>
                <w:rFonts w:hint="eastAsia" w:ascii="宋体" w:hAnsi="宋体" w:cs="宋体"/>
                <w:i w:val="0"/>
                <w:iCs w:val="0"/>
                <w:color w:val="auto"/>
                <w:sz w:val="18"/>
                <w:szCs w:val="18"/>
                <w:highlight w:val="none"/>
                <w:u w:val="none"/>
                <w:lang w:val="en-US" w:eastAsia="zh-CN"/>
              </w:rPr>
              <w:t>相关</w:t>
            </w:r>
            <w:r>
              <w:rPr>
                <w:rFonts w:hint="eastAsia" w:ascii="宋体" w:hAnsi="宋体" w:eastAsia="宋体" w:cs="宋体"/>
                <w:i w:val="0"/>
                <w:iCs w:val="0"/>
                <w:color w:val="auto"/>
                <w:sz w:val="18"/>
                <w:szCs w:val="18"/>
                <w:highlight w:val="none"/>
                <w:u w:val="none"/>
                <w:lang w:val="en-US" w:eastAsia="zh-CN"/>
              </w:rPr>
              <w:t>知识。</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0A61">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F0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采取实地检查与资料查阅方式评定。</w:t>
            </w:r>
          </w:p>
          <w:p w14:paraId="6F1D478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（1）无培训记录与</w:t>
            </w:r>
            <w:r>
              <w:rPr>
                <w:rFonts w:hint="eastAsia" w:ascii="宋体" w:hAnsi="宋体" w:eastAsia="宋体" w:cs="宋体"/>
                <w:i w:val="0"/>
                <w:iCs w:val="0"/>
                <w:color w:val="auto"/>
                <w:sz w:val="18"/>
                <w:szCs w:val="18"/>
                <w:highlight w:val="none"/>
                <w:u w:val="none"/>
                <w:lang w:val="en-US" w:eastAsia="zh-CN"/>
              </w:rPr>
              <w:t>相关</w:t>
            </w:r>
            <w:r>
              <w:rPr>
                <w:rFonts w:hint="eastAsia" w:ascii="宋体" w:hAnsi="宋体" w:eastAsia="宋体" w:cs="宋体"/>
                <w:color w:val="auto"/>
                <w:kern w:val="0"/>
                <w:sz w:val="18"/>
                <w:szCs w:val="18"/>
                <w:highlight w:val="none"/>
                <w:lang w:val="en-US" w:eastAsia="zh-CN"/>
              </w:rPr>
              <w:t>资料，</w:t>
            </w:r>
            <w:r>
              <w:rPr>
                <w:rFonts w:hint="eastAsia" w:ascii="宋体" w:hAnsi="宋体" w:cs="宋体"/>
                <w:color w:val="auto"/>
                <w:kern w:val="0"/>
                <w:sz w:val="18"/>
                <w:szCs w:val="18"/>
                <w:highlight w:val="none"/>
                <w:lang w:val="en-US" w:eastAsia="zh-CN"/>
              </w:rPr>
              <w:t>扣2.5分；</w:t>
            </w:r>
            <w:r>
              <w:rPr>
                <w:rFonts w:hint="eastAsia" w:ascii="宋体" w:hAnsi="宋体" w:eastAsia="宋体" w:cs="宋体"/>
                <w:i w:val="0"/>
                <w:iCs w:val="0"/>
                <w:color w:val="auto"/>
                <w:sz w:val="18"/>
                <w:szCs w:val="18"/>
                <w:highlight w:val="none"/>
                <w:u w:val="none"/>
                <w:lang w:val="en-US" w:eastAsia="zh-CN"/>
              </w:rPr>
              <w:t>培训材料中所需的计划、内容、照片、签名、考核环节，每缺一项扣0.5分。</w:t>
            </w:r>
          </w:p>
          <w:p w14:paraId="3F610BA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color w:val="auto"/>
                <w:kern w:val="0"/>
                <w:sz w:val="18"/>
                <w:szCs w:val="18"/>
                <w:highlight w:val="none"/>
                <w:lang w:val="en-US" w:eastAsia="zh-CN"/>
              </w:rPr>
              <w:t>（2）</w:t>
            </w:r>
            <w:r>
              <w:rPr>
                <w:rFonts w:hint="eastAsia" w:ascii="宋体" w:hAnsi="宋体" w:eastAsia="宋体" w:cs="宋体"/>
                <w:i w:val="0"/>
                <w:iCs w:val="0"/>
                <w:color w:val="auto"/>
                <w:sz w:val="18"/>
                <w:szCs w:val="18"/>
                <w:highlight w:val="none"/>
                <w:u w:val="none"/>
                <w:lang w:val="en-US" w:eastAsia="zh-CN"/>
              </w:rPr>
              <w:t>每年应开展4次以上培训学习，每少1次扣1分。</w:t>
            </w:r>
          </w:p>
          <w:p w14:paraId="2B1C775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color w:val="auto"/>
                <w:kern w:val="0"/>
                <w:sz w:val="18"/>
                <w:szCs w:val="18"/>
                <w:highlight w:val="none"/>
                <w:lang w:val="en-US" w:eastAsia="zh-CN"/>
              </w:rPr>
              <w:t>（</w:t>
            </w:r>
            <w:r>
              <w:rPr>
                <w:rFonts w:hint="eastAsia" w:ascii="宋体" w:hAnsi="宋体" w:cs="宋体"/>
                <w:color w:val="auto"/>
                <w:kern w:val="0"/>
                <w:sz w:val="18"/>
                <w:szCs w:val="18"/>
                <w:highlight w:val="none"/>
                <w:lang w:val="en-US" w:eastAsia="zh-CN"/>
              </w:rPr>
              <w:t>3</w:t>
            </w:r>
            <w:r>
              <w:rPr>
                <w:rFonts w:hint="eastAsia" w:ascii="宋体" w:hAnsi="宋体" w:eastAsia="宋体" w:cs="宋体"/>
                <w:color w:val="auto"/>
                <w:kern w:val="0"/>
                <w:sz w:val="18"/>
                <w:szCs w:val="18"/>
                <w:highlight w:val="none"/>
                <w:lang w:val="en-US" w:eastAsia="zh-CN"/>
              </w:rPr>
              <w:t>）</w:t>
            </w:r>
            <w:r>
              <w:rPr>
                <w:rFonts w:hint="eastAsia" w:ascii="宋体" w:hAnsi="宋体" w:eastAsia="宋体" w:cs="宋体"/>
                <w:i w:val="0"/>
                <w:iCs w:val="0"/>
                <w:color w:val="auto"/>
                <w:sz w:val="18"/>
                <w:szCs w:val="18"/>
                <w:highlight w:val="none"/>
                <w:u w:val="none"/>
                <w:lang w:val="en-US" w:eastAsia="zh-CN"/>
              </w:rPr>
              <w:t>新员工岗前培训</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无培训记录资料的</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w:t>
            </w:r>
            <w:r>
              <w:rPr>
                <w:rFonts w:hint="eastAsia" w:ascii="宋体" w:hAnsi="宋体" w:cs="宋体"/>
                <w:i w:val="0"/>
                <w:iCs w:val="0"/>
                <w:color w:val="auto"/>
                <w:sz w:val="18"/>
                <w:szCs w:val="18"/>
                <w:highlight w:val="none"/>
                <w:u w:val="none"/>
                <w:lang w:val="en-US" w:eastAsia="zh-CN"/>
              </w:rPr>
              <w:t>2.5</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；培训所需的</w:t>
            </w:r>
            <w:r>
              <w:rPr>
                <w:rFonts w:hint="eastAsia" w:ascii="宋体" w:hAnsi="宋体" w:eastAsia="宋体" w:cs="宋体"/>
                <w:i w:val="0"/>
                <w:iCs w:val="0"/>
                <w:color w:val="auto"/>
                <w:sz w:val="18"/>
                <w:szCs w:val="18"/>
                <w:highlight w:val="none"/>
                <w:u w:val="none"/>
                <w:lang w:val="en-US" w:eastAsia="zh-CN"/>
              </w:rPr>
              <w:t>计划、内容、照片、参训人员签名、考核环节</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每缺一项扣0.5分。</w:t>
            </w:r>
          </w:p>
          <w:p w14:paraId="14D6A86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（4）抽查1名医生与1名护士进行考核：</w:t>
            </w:r>
          </w:p>
          <w:p w14:paraId="3F631D7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①查阅培训计划及相关资料，含参训签名、现场照片、培训记录，每缺一项扣0.5分；</w:t>
            </w:r>
          </w:p>
          <w:p w14:paraId="085A688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②现场提问医务人员，回答不正确的扣2分，回答不全的扣1分。</w:t>
            </w:r>
          </w:p>
        </w:tc>
      </w:tr>
    </w:tbl>
    <w:p w14:paraId="1116C037">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p>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7"/>
        <w:gridCol w:w="5563"/>
        <w:gridCol w:w="624"/>
        <w:gridCol w:w="3628"/>
      </w:tblGrid>
      <w:tr w14:paraId="312B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9320">
            <w:pPr>
              <w:numPr>
                <w:ilvl w:val="0"/>
                <w:numId w:val="0"/>
              </w:numPr>
              <w:ind w:left="0" w:leftChars="0" w:firstLine="0" w:firstLineChars="0"/>
              <w:jc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988B">
            <w:pPr>
              <w:numPr>
                <w:ilvl w:val="0"/>
                <w:numId w:val="0"/>
              </w:numPr>
              <w:ind w:left="0" w:leftChars="0" w:firstLine="0" w:firstLineChars="0"/>
              <w:jc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60306">
            <w:pPr>
              <w:numPr>
                <w:ilvl w:val="0"/>
                <w:numId w:val="0"/>
              </w:numPr>
              <w:ind w:left="0" w:leftChars="0" w:firstLine="0" w:firstLineChars="0"/>
              <w:jc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1F7D">
            <w:pPr>
              <w:numPr>
                <w:ilvl w:val="0"/>
                <w:numId w:val="0"/>
              </w:numPr>
              <w:ind w:left="0" w:leftChars="0" w:firstLine="0" w:firstLineChars="0"/>
              <w:jc w:val="center"/>
              <w:rPr>
                <w:rFonts w:hint="eastAsia" w:ascii="宋体" w:hAnsi="宋体" w:eastAsia="宋体" w:cs="宋体"/>
                <w:i w:val="0"/>
                <w:iCs w:val="0"/>
                <w:color w:val="auto"/>
                <w:sz w:val="20"/>
                <w:szCs w:val="20"/>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14:paraId="605B2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8" w:hRule="atLeast"/>
        </w:trPr>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D3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.4</w:t>
            </w:r>
          </w:p>
          <w:p w14:paraId="766363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环境布局</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A6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诊室内按照工作流程实施洁污分区，各区域标识明确。诊疗、去污、消毒等感染高风险区域须与生活区域分隔，诊疗区域与口腔器械清洗区域、消毒区域分隔。诊疗、去污、消毒区域须保持清洁、通风、干燥、无异味。</w:t>
            </w:r>
          </w:p>
          <w:p w14:paraId="2EEF147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（2）治疗、换药车保持清洁整齐，物品分类摆放，上层为清洁区，下层为污染区。治疗用车须配备快速手消毒剂及医疗废物收集桶。</w:t>
            </w:r>
          </w:p>
          <w:p w14:paraId="3D3B063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（3）冰箱清洁有序，无异味</w:t>
            </w:r>
            <w:r>
              <w:rPr>
                <w:rFonts w:hint="eastAsia" w:ascii="宋体" w:hAnsi="宋体" w:cs="宋体"/>
                <w:i w:val="0"/>
                <w:iCs w:val="0"/>
                <w:color w:val="auto"/>
                <w:sz w:val="18"/>
                <w:szCs w:val="18"/>
                <w:highlight w:val="none"/>
                <w:u w:val="none"/>
                <w:lang w:val="en-US" w:eastAsia="zh-CN"/>
              </w:rPr>
              <w:t>及</w:t>
            </w:r>
            <w:r>
              <w:rPr>
                <w:rFonts w:hint="eastAsia" w:ascii="宋体" w:hAnsi="宋体" w:eastAsia="宋体" w:cs="宋体"/>
                <w:i w:val="0"/>
                <w:iCs w:val="0"/>
                <w:color w:val="auto"/>
                <w:sz w:val="18"/>
                <w:szCs w:val="18"/>
                <w:highlight w:val="none"/>
                <w:u w:val="none"/>
                <w:lang w:val="en-US" w:eastAsia="zh-CN"/>
              </w:rPr>
              <w:t>私人物品，上层存放无菌物品，下层存放清洁物品。</w:t>
            </w:r>
          </w:p>
          <w:p w14:paraId="3B03601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（4）每季度对物体表面、空气、工作人员的手等开展环境卫生学监测，并</w:t>
            </w:r>
            <w:r>
              <w:rPr>
                <w:rFonts w:hint="eastAsia" w:ascii="宋体" w:hAnsi="宋体" w:cs="宋体"/>
                <w:i w:val="0"/>
                <w:iCs w:val="0"/>
                <w:color w:val="auto"/>
                <w:sz w:val="18"/>
                <w:szCs w:val="18"/>
                <w:highlight w:val="none"/>
                <w:u w:val="none"/>
                <w:lang w:val="en-US" w:eastAsia="zh-CN"/>
              </w:rPr>
              <w:t>留存合格监测报告单</w:t>
            </w:r>
            <w:r>
              <w:rPr>
                <w:rFonts w:hint="eastAsia" w:ascii="宋体" w:hAnsi="宋体" w:eastAsia="宋体" w:cs="宋体"/>
                <w:i w:val="0"/>
                <w:iCs w:val="0"/>
                <w:color w:val="auto"/>
                <w:sz w:val="18"/>
                <w:szCs w:val="18"/>
                <w:highlight w:val="none"/>
                <w:u w:val="none"/>
                <w:lang w:val="en-US" w:eastAsia="zh-CN"/>
              </w:rPr>
              <w:t>。</w:t>
            </w:r>
          </w:p>
          <w:p w14:paraId="2DA2EDA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（5）污被服定点放置，不得随意丢放；被传染性病原菌污染的器械、衣物，应当采用双层黄色医疗废物袋封装后回收。</w:t>
            </w:r>
          </w:p>
          <w:p w14:paraId="7541CA0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（6）拖把按分区标识使用，标识明确，使用后进行消毒，悬挂晾干。</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02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p>
          <w:p w14:paraId="17C425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p>
          <w:p w14:paraId="37412B78">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2FC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实地查看。</w:t>
            </w:r>
          </w:p>
          <w:p w14:paraId="5A12004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（1）工作环境及工作流程未实现洁污分区，环境脏乱的，扣2分。</w:t>
            </w:r>
          </w:p>
          <w:p w14:paraId="162FB14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（2）治疗、换药车未实现洁污分区，未配备手消毒剂，未配备医疗废物垃圾桶，每项扣0.5分。</w:t>
            </w:r>
          </w:p>
          <w:p w14:paraId="7EA591B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（3）冰箱清洁不到位、管理混乱，存放私人物品的，扣1分。</w:t>
            </w:r>
          </w:p>
          <w:p w14:paraId="2AE856B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（4）未按季度开展环境卫生学监测的</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扣1分，少开展一次扣0.5分。</w:t>
            </w:r>
          </w:p>
          <w:p w14:paraId="2CA5987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（5）织物未落实定位管理，清洁度不达标，清洁织物与污染织物随意摆放的，扣1分。</w:t>
            </w:r>
          </w:p>
          <w:p w14:paraId="419DE07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（6）洁具清洁度不达标、未分区使用，无</w:t>
            </w:r>
            <w:r>
              <w:rPr>
                <w:rFonts w:hint="eastAsia" w:ascii="宋体" w:hAnsi="宋体" w:cs="宋体"/>
                <w:i w:val="0"/>
                <w:iCs w:val="0"/>
                <w:color w:val="auto"/>
                <w:sz w:val="18"/>
                <w:szCs w:val="18"/>
                <w:highlight w:val="none"/>
                <w:u w:val="none"/>
                <w:lang w:val="en-US" w:eastAsia="zh-CN"/>
              </w:rPr>
              <w:t>标识</w:t>
            </w:r>
            <w:r>
              <w:rPr>
                <w:rFonts w:hint="eastAsia" w:ascii="宋体" w:hAnsi="宋体" w:eastAsia="宋体" w:cs="宋体"/>
                <w:i w:val="0"/>
                <w:iCs w:val="0"/>
                <w:color w:val="auto"/>
                <w:sz w:val="18"/>
                <w:szCs w:val="18"/>
                <w:highlight w:val="none"/>
                <w:u w:val="none"/>
                <w:lang w:val="en-US" w:eastAsia="zh-CN"/>
              </w:rPr>
              <w:t>，未按要求消毒，使用后未悬挂晾干，每项不符合要求扣1分。</w:t>
            </w:r>
          </w:p>
        </w:tc>
      </w:tr>
      <w:tr w14:paraId="35078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3" w:hRule="atLeast"/>
        </w:trPr>
        <w:tc>
          <w:tcPr>
            <w:tcW w:w="1127" w:type="dxa"/>
            <w:tcBorders>
              <w:top w:val="single" w:color="000000" w:sz="4" w:space="0"/>
              <w:left w:val="single" w:color="000000" w:sz="4" w:space="0"/>
              <w:bottom w:val="single" w:color="auto" w:sz="4" w:space="0"/>
              <w:right w:val="single" w:color="000000" w:sz="4" w:space="0"/>
            </w:tcBorders>
            <w:shd w:val="clear" w:color="auto" w:fill="auto"/>
            <w:vAlign w:val="center"/>
          </w:tcPr>
          <w:p w14:paraId="4A54BC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.5</w:t>
            </w:r>
          </w:p>
          <w:p w14:paraId="7A9EC2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灭菌剂及</w:t>
            </w:r>
          </w:p>
          <w:p w14:paraId="2CC978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消毒剂管理</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51B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（1）灭菌剂、消毒剂须在有效期内使用，不得与口服药、注射药混放；盛放消毒与灭菌用消毒剂的容器，须达到相应的消毒与灭菌级别。</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所用消毒灭菌剂的使用期限须符合国家规范要求，含氯消毒剂须现配现用，每日开展浓度监测并留存监测记录。皮肤消毒剂（碘伏、复合碘消毒剂、季铵盐类、氯己定类、碘酊、醇类等）须标注开启日期/失效日期，开瓶后的有效期遵循厂家使用说明，无明确说明的，须保证微生物污染指标低于100CFU/ml。</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（3）各类消毒监测登记及原始记录须齐全</w:t>
            </w:r>
            <w:r>
              <w:rPr>
                <w:rFonts w:hint="eastAsia" w:ascii="宋体" w:hAnsi="宋体" w:cs="宋体"/>
                <w:i w:val="0"/>
                <w:iCs w:val="0"/>
                <w:color w:val="auto"/>
                <w:sz w:val="18"/>
                <w:szCs w:val="18"/>
                <w:highlight w:val="none"/>
                <w:u w:val="none"/>
                <w:lang w:val="en-US" w:eastAsia="zh-CN"/>
              </w:rPr>
              <w:t>完整</w:t>
            </w:r>
            <w:r>
              <w:rPr>
                <w:rFonts w:hint="eastAsia" w:ascii="宋体" w:hAnsi="宋体" w:eastAsia="宋体" w:cs="宋体"/>
                <w:i w:val="0"/>
                <w:iCs w:val="0"/>
                <w:color w:val="auto"/>
                <w:sz w:val="18"/>
                <w:szCs w:val="18"/>
                <w:highlight w:val="none"/>
                <w:u w:val="none"/>
                <w:lang w:val="en-US"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C3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516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实地查看。</w:t>
            </w:r>
          </w:p>
          <w:p w14:paraId="26CA5C0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（1）消毒剂过期</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分；盛放消毒剂的容器未达到消毒与灭菌水平，扣1分。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（2）工作人员未掌握消毒液配制方法，扣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分；消毒剂未标注开始日期、失效日期、开启人签名，扣1分；未配备消毒监测纸或消毒监测纸过期，扣1分。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（3）无消毒液使用记录，扣1分；记录缺漏1项</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p>
        </w:tc>
      </w:tr>
      <w:tr w14:paraId="28411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4" w:hRule="atLeast"/>
        </w:trPr>
        <w:tc>
          <w:tcPr>
            <w:tcW w:w="1127" w:type="dxa"/>
            <w:tcBorders>
              <w:top w:val="single" w:color="auto" w:sz="4" w:space="0"/>
              <w:left w:val="single" w:color="auto" w:sz="4" w:space="0"/>
              <w:bottom w:val="single" w:color="auto" w:sz="4" w:space="0"/>
              <w:right w:val="single" w:color="auto" w:sz="4" w:space="0"/>
            </w:tcBorders>
            <w:shd w:val="clear" w:color="auto" w:fill="auto"/>
            <w:vAlign w:val="center"/>
          </w:tcPr>
          <w:p w14:paraId="3C6D16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.6</w:t>
            </w:r>
          </w:p>
          <w:p w14:paraId="4E94BB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消毒设施</w:t>
            </w:r>
          </w:p>
          <w:p w14:paraId="4083743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63" w:type="dxa"/>
            <w:tcBorders>
              <w:top w:val="single" w:color="000000" w:sz="4" w:space="0"/>
              <w:left w:val="single" w:color="auto" w:sz="4" w:space="0"/>
              <w:bottom w:val="single" w:color="000000" w:sz="4" w:space="0"/>
              <w:right w:val="single" w:color="000000" w:sz="4" w:space="0"/>
            </w:tcBorders>
            <w:shd w:val="clear" w:color="auto" w:fill="auto"/>
            <w:vAlign w:val="center"/>
          </w:tcPr>
          <w:p w14:paraId="3A9B264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（1）应当为紫外线灯、空气消毒机、层流设施建立定期维护清洁记录表。</w:t>
            </w:r>
          </w:p>
          <w:p w14:paraId="4BE0B45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（2）紫外线消毒</w:t>
            </w:r>
            <w:r>
              <w:rPr>
                <w:rFonts w:hint="eastAsia" w:ascii="宋体" w:hAnsi="宋体" w:cs="宋体"/>
                <w:i w:val="0"/>
                <w:iCs w:val="0"/>
                <w:color w:val="auto"/>
                <w:sz w:val="18"/>
                <w:szCs w:val="18"/>
                <w:highlight w:val="none"/>
                <w:u w:val="none"/>
                <w:lang w:val="en-US" w:eastAsia="zh-CN"/>
              </w:rPr>
              <w:t>灯</w:t>
            </w:r>
            <w:r>
              <w:rPr>
                <w:rFonts w:hint="eastAsia" w:ascii="宋体" w:hAnsi="宋体" w:eastAsia="宋体" w:cs="宋体"/>
                <w:i w:val="0"/>
                <w:iCs w:val="0"/>
                <w:caps w:val="0"/>
                <w:color w:val="auto"/>
                <w:spacing w:val="0"/>
                <w:sz w:val="18"/>
                <w:szCs w:val="18"/>
                <w:highlight w:val="none"/>
                <w:u w:val="none"/>
                <w:shd w:val="clear"/>
                <w:lang w:val="en-US" w:eastAsia="zh-CN"/>
              </w:rPr>
              <w:t>每半年开展一次强度监测并留存记录</w:t>
            </w:r>
            <w:r>
              <w:rPr>
                <w:rFonts w:hint="eastAsia" w:ascii="宋体" w:hAnsi="宋体" w:eastAsia="宋体" w:cs="宋体"/>
                <w:i w:val="0"/>
                <w:iCs w:val="0"/>
                <w:color w:val="auto"/>
                <w:sz w:val="18"/>
                <w:szCs w:val="18"/>
                <w:highlight w:val="none"/>
                <w:u w:val="none"/>
                <w:lang w:val="en-US" w:eastAsia="zh-CN"/>
              </w:rPr>
              <w:t>，应当</w:t>
            </w:r>
            <w:r>
              <w:rPr>
                <w:rFonts w:hint="eastAsia" w:ascii="宋体" w:hAnsi="宋体" w:cs="宋体"/>
                <w:i w:val="0"/>
                <w:iCs w:val="0"/>
                <w:color w:val="auto"/>
                <w:sz w:val="18"/>
                <w:szCs w:val="18"/>
                <w:highlight w:val="none"/>
                <w:u w:val="none"/>
                <w:lang w:val="en-US" w:eastAsia="zh-CN"/>
              </w:rPr>
              <w:t>配</w:t>
            </w:r>
            <w:r>
              <w:rPr>
                <w:rFonts w:hint="eastAsia" w:ascii="宋体" w:hAnsi="宋体" w:eastAsia="宋体" w:cs="宋体"/>
                <w:i w:val="0"/>
                <w:iCs w:val="0"/>
                <w:color w:val="auto"/>
                <w:sz w:val="18"/>
                <w:szCs w:val="18"/>
                <w:highlight w:val="none"/>
                <w:u w:val="none"/>
                <w:lang w:val="en-US" w:eastAsia="zh-CN"/>
              </w:rPr>
              <w:t>备</w:t>
            </w:r>
            <w:r>
              <w:rPr>
                <w:rFonts w:hint="eastAsia" w:ascii="宋体" w:hAnsi="宋体" w:cs="宋体"/>
                <w:i w:val="0"/>
                <w:iCs w:val="0"/>
                <w:color w:val="auto"/>
                <w:sz w:val="18"/>
                <w:szCs w:val="18"/>
                <w:highlight w:val="none"/>
                <w:u w:val="none"/>
                <w:lang w:val="en-US" w:eastAsia="zh-CN"/>
              </w:rPr>
              <w:t>紫外线</w:t>
            </w:r>
            <w:r>
              <w:rPr>
                <w:rFonts w:hint="eastAsia" w:ascii="宋体" w:hAnsi="宋体" w:eastAsia="宋体" w:cs="宋体"/>
                <w:i w:val="0"/>
                <w:iCs w:val="0"/>
                <w:color w:val="auto"/>
                <w:sz w:val="18"/>
                <w:szCs w:val="18"/>
                <w:highlight w:val="none"/>
                <w:u w:val="none"/>
                <w:lang w:val="en-US" w:eastAsia="zh-CN"/>
              </w:rPr>
              <w:t>监测纸或监测仪，工作人员须掌握监测方法。</w:t>
            </w:r>
          </w:p>
          <w:p w14:paraId="3146E2D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（3）紫外线灯管每周采用75％酒精擦拭一次，照射时长超过一千小时的灯管需</w:t>
            </w:r>
            <w:r>
              <w:rPr>
                <w:rFonts w:hint="eastAsia" w:ascii="宋体" w:hAnsi="宋体" w:cs="宋体"/>
                <w:i w:val="0"/>
                <w:iCs w:val="0"/>
                <w:color w:val="auto"/>
                <w:sz w:val="18"/>
                <w:szCs w:val="18"/>
                <w:highlight w:val="none"/>
                <w:u w:val="none"/>
                <w:lang w:val="en-US" w:eastAsia="zh-CN"/>
              </w:rPr>
              <w:t>每月开展</w:t>
            </w:r>
            <w:r>
              <w:rPr>
                <w:rFonts w:hint="eastAsia" w:ascii="宋体" w:hAnsi="宋体" w:eastAsia="宋体" w:cs="宋体"/>
                <w:i w:val="0"/>
                <w:iCs w:val="0"/>
                <w:color w:val="auto"/>
                <w:sz w:val="18"/>
                <w:szCs w:val="18"/>
                <w:highlight w:val="none"/>
                <w:u w:val="none"/>
                <w:lang w:val="en-US" w:eastAsia="zh-CN"/>
              </w:rPr>
              <w:t>监测。使用中紫外线灯管照射强度监测需合格，标准为：新灯管≥90μw/cm²，使用中灯管≥70μw/cm</w:t>
            </w:r>
            <w:r>
              <w:rPr>
                <w:rFonts w:hint="eastAsia" w:ascii="宋体" w:hAnsi="宋体" w:cs="宋体"/>
                <w:i w:val="0"/>
                <w:iCs w:val="0"/>
                <w:color w:val="auto"/>
                <w:sz w:val="18"/>
                <w:szCs w:val="18"/>
                <w:highlight w:val="none"/>
                <w:u w:val="none"/>
                <w:lang w:val="en-US" w:eastAsia="zh-CN"/>
              </w:rPr>
              <w:t>²，监测</w:t>
            </w:r>
            <w:r>
              <w:rPr>
                <w:rFonts w:hint="eastAsia" w:ascii="宋体" w:hAnsi="宋体" w:eastAsia="宋体" w:cs="宋体"/>
                <w:i w:val="0"/>
                <w:iCs w:val="0"/>
                <w:color w:val="auto"/>
                <w:sz w:val="18"/>
                <w:szCs w:val="18"/>
                <w:highlight w:val="none"/>
                <w:u w:val="none"/>
                <w:lang w:val="en-US" w:eastAsia="zh-CN"/>
              </w:rPr>
              <w:t>至少每半年开展一次。</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AA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FF0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eastAsia="zh-CN"/>
              </w:rPr>
              <w:t>采用实地检查、查阅资料相结合的方式评分。</w:t>
            </w:r>
          </w:p>
          <w:p w14:paraId="1B8C289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（1）未配置消毒设施</w:t>
            </w:r>
            <w:r>
              <w:rPr>
                <w:rFonts w:hint="eastAsia" w:ascii="Segoe UI" w:hAnsi="Segoe UI" w:eastAsia="Segoe UI" w:cs="Segoe UI"/>
                <w:i w:val="0"/>
                <w:iCs w:val="0"/>
                <w:caps w:val="0"/>
                <w:color w:val="auto"/>
                <w:spacing w:val="0"/>
                <w:sz w:val="19"/>
                <w:szCs w:val="19"/>
                <w:highlight w:val="none"/>
                <w:shd w:val="clear" w:fill="FFFFFF"/>
                <w:lang w:val="en-US" w:eastAsia="zh-CN"/>
              </w:rPr>
              <w:t>或</w:t>
            </w:r>
            <w:r>
              <w:rPr>
                <w:rFonts w:hint="eastAsia" w:ascii="宋体" w:hAnsi="宋体" w:eastAsia="宋体" w:cs="宋体"/>
                <w:i w:val="0"/>
                <w:iCs w:val="0"/>
                <w:color w:val="auto"/>
                <w:sz w:val="18"/>
                <w:szCs w:val="18"/>
                <w:highlight w:val="none"/>
                <w:u w:val="none"/>
                <w:lang w:val="en-US" w:eastAsia="zh-CN"/>
              </w:rPr>
              <w:t>未建立维护记录的</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扣2分。</w:t>
            </w:r>
          </w:p>
          <w:p w14:paraId="7CBF180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（2）消毒</w:t>
            </w:r>
            <w:r>
              <w:rPr>
                <w:rFonts w:hint="eastAsia" w:ascii="宋体" w:hAnsi="宋体" w:eastAsia="宋体" w:cs="宋体"/>
                <w:i w:val="0"/>
                <w:iCs w:val="0"/>
                <w:color w:val="auto"/>
                <w:sz w:val="18"/>
                <w:szCs w:val="18"/>
                <w:highlight w:val="none"/>
                <w:u w:val="none"/>
              </w:rPr>
              <w:t>记录不完善或记录不清晰，每项扣1分；缺漏一次扣</w:t>
            </w:r>
            <w:r>
              <w:rPr>
                <w:rFonts w:hint="eastAsia"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p w14:paraId="7D6F722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（3）紫外线灯管未按要求擦拭</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监测结果错误</w:t>
            </w:r>
            <w:r>
              <w:rPr>
                <w:rFonts w:hint="eastAsia" w:ascii="宋体" w:hAnsi="宋体" w:cs="宋体"/>
                <w:i w:val="0"/>
                <w:iCs w:val="0"/>
                <w:color w:val="auto"/>
                <w:sz w:val="18"/>
                <w:szCs w:val="18"/>
                <w:highlight w:val="none"/>
                <w:u w:val="none"/>
                <w:lang w:val="en-US" w:eastAsia="zh-CN"/>
              </w:rPr>
              <w:t>或不达标</w:t>
            </w:r>
            <w:r>
              <w:rPr>
                <w:rFonts w:hint="eastAsia" w:ascii="宋体" w:hAnsi="宋体" w:eastAsia="宋体" w:cs="宋体"/>
                <w:i w:val="0"/>
                <w:iCs w:val="0"/>
                <w:color w:val="auto"/>
                <w:sz w:val="18"/>
                <w:szCs w:val="18"/>
                <w:highlight w:val="none"/>
                <w:u w:val="none"/>
                <w:lang w:val="en-US" w:eastAsia="zh-CN"/>
              </w:rPr>
              <w:t>，扣1分；现场考核</w:t>
            </w:r>
            <w:r>
              <w:rPr>
                <w:rFonts w:hint="eastAsia" w:ascii="宋体" w:hAnsi="宋体" w:cs="宋体"/>
                <w:i w:val="0"/>
                <w:iCs w:val="0"/>
                <w:color w:val="auto"/>
                <w:sz w:val="18"/>
                <w:szCs w:val="18"/>
                <w:highlight w:val="none"/>
                <w:u w:val="none"/>
                <w:lang w:val="en-US" w:eastAsia="zh-CN"/>
              </w:rPr>
              <w:t>显示</w:t>
            </w:r>
            <w:r>
              <w:rPr>
                <w:rFonts w:hint="eastAsia" w:ascii="宋体" w:hAnsi="宋体" w:eastAsia="宋体" w:cs="宋体"/>
                <w:i w:val="0"/>
                <w:iCs w:val="0"/>
                <w:color w:val="auto"/>
                <w:sz w:val="18"/>
                <w:szCs w:val="18"/>
                <w:highlight w:val="none"/>
                <w:u w:val="none"/>
                <w:lang w:val="en-US" w:eastAsia="zh-CN"/>
              </w:rPr>
              <w:t>工作人员未掌握监测方法</w:t>
            </w:r>
            <w:r>
              <w:rPr>
                <w:rFonts w:hint="eastAsia" w:ascii="宋体" w:hAnsi="宋体" w:cs="宋体"/>
                <w:i w:val="0"/>
                <w:iCs w:val="0"/>
                <w:color w:val="auto"/>
                <w:sz w:val="18"/>
                <w:szCs w:val="18"/>
                <w:highlight w:val="none"/>
                <w:u w:val="none"/>
                <w:lang w:val="en-US" w:eastAsia="zh-CN"/>
              </w:rPr>
              <w:t>的</w:t>
            </w:r>
            <w:r>
              <w:rPr>
                <w:rFonts w:hint="eastAsia" w:ascii="宋体" w:hAnsi="宋体" w:eastAsia="宋体" w:cs="宋体"/>
                <w:i w:val="0"/>
                <w:iCs w:val="0"/>
                <w:color w:val="auto"/>
                <w:sz w:val="18"/>
                <w:szCs w:val="18"/>
                <w:highlight w:val="none"/>
                <w:u w:val="none"/>
                <w:lang w:val="en-US" w:eastAsia="zh-CN"/>
              </w:rPr>
              <w:t>，每项扣1分</w:t>
            </w:r>
            <w:r>
              <w:rPr>
                <w:rFonts w:hint="eastAsia" w:ascii="宋体" w:hAnsi="宋体" w:cs="宋体"/>
                <w:i w:val="0"/>
                <w:iCs w:val="0"/>
                <w:color w:val="auto"/>
                <w:sz w:val="18"/>
                <w:szCs w:val="18"/>
                <w:highlight w:val="none"/>
                <w:u w:val="none"/>
                <w:lang w:val="en-US" w:eastAsia="zh-CN"/>
              </w:rPr>
              <w:t>。</w:t>
            </w:r>
          </w:p>
        </w:tc>
      </w:tr>
    </w:tbl>
    <w:p w14:paraId="59F6FF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7"/>
        <w:gridCol w:w="5563"/>
        <w:gridCol w:w="624"/>
        <w:gridCol w:w="3628"/>
      </w:tblGrid>
      <w:tr w14:paraId="0CF3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27" w:type="dxa"/>
            <w:tcBorders>
              <w:top w:val="single" w:color="auto" w:sz="4" w:space="0"/>
              <w:left w:val="single" w:color="auto" w:sz="4" w:space="0"/>
              <w:bottom w:val="single" w:color="auto" w:sz="4" w:space="0"/>
              <w:right w:val="single" w:color="auto" w:sz="4" w:space="0"/>
            </w:tcBorders>
            <w:shd w:val="clear" w:color="auto" w:fill="auto"/>
            <w:vAlign w:val="center"/>
          </w:tcPr>
          <w:p w14:paraId="35505E5F">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63" w:type="dxa"/>
            <w:tcBorders>
              <w:top w:val="single" w:color="000000" w:sz="4" w:space="0"/>
              <w:left w:val="single" w:color="auto" w:sz="4" w:space="0"/>
              <w:bottom w:val="single" w:color="000000" w:sz="4" w:space="0"/>
              <w:right w:val="single" w:color="000000" w:sz="4" w:space="0"/>
            </w:tcBorders>
            <w:shd w:val="clear" w:color="auto" w:fill="auto"/>
            <w:vAlign w:val="center"/>
          </w:tcPr>
          <w:p w14:paraId="1E5E086C">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B313">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4EE7">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评分说明</w:t>
            </w:r>
          </w:p>
        </w:tc>
      </w:tr>
      <w:tr w14:paraId="530D6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3" w:hRule="atLeast"/>
        </w:trPr>
        <w:tc>
          <w:tcPr>
            <w:tcW w:w="1127" w:type="dxa"/>
            <w:tcBorders>
              <w:top w:val="single" w:color="auto" w:sz="4" w:space="0"/>
              <w:left w:val="single" w:color="auto" w:sz="4" w:space="0"/>
              <w:bottom w:val="single" w:color="auto" w:sz="4" w:space="0"/>
              <w:right w:val="single" w:color="auto" w:sz="4" w:space="0"/>
            </w:tcBorders>
            <w:shd w:val="clear" w:color="auto" w:fill="auto"/>
            <w:vAlign w:val="center"/>
          </w:tcPr>
          <w:p w14:paraId="635DE3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.7</w:t>
            </w:r>
          </w:p>
          <w:p w14:paraId="2555DE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口腔专科消毒灭菌落实</w:t>
            </w:r>
          </w:p>
        </w:tc>
        <w:tc>
          <w:tcPr>
            <w:tcW w:w="5563" w:type="dxa"/>
            <w:tcBorders>
              <w:top w:val="single" w:color="000000" w:sz="4" w:space="0"/>
              <w:left w:val="single" w:color="auto" w:sz="4" w:space="0"/>
              <w:bottom w:val="single" w:color="000000" w:sz="4" w:space="0"/>
              <w:right w:val="single" w:color="000000" w:sz="4" w:space="0"/>
            </w:tcBorders>
            <w:shd w:val="clear" w:color="auto" w:fill="auto"/>
            <w:vAlign w:val="center"/>
          </w:tcPr>
          <w:p w14:paraId="072DFE7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（1）具备口腔器械消毒灭菌设置条件的机构，应当配备专职或兼职口腔器械消毒灭菌工作人员，消毒灭菌工作人员必须参加岗前培训与继续教育。</w:t>
            </w:r>
          </w:p>
          <w:p w14:paraId="6C6F90D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（2）不具备口腔器械消毒灭菌设置条件的机构，必须委托具备资质的消毒供应中心，对可重复使用的口腔器械开展清洗、消毒和灭菌处理（需核查协议书与物品清单）。</w:t>
            </w:r>
          </w:p>
          <w:p w14:paraId="5D1D20E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3）四手操作柜内物品需摆放有序，上层放置无菌物品、下层放置清洁物品，不得存放私人物品；凡接触患者伤口、血液、破损黏膜或进入人体无菌组织的各类口腔诊疗器械，包括牙科机、车针、根管治疗器械、拔牙器械、手术器械、牙周治疗器械、敷料等，使用前必须达到灭菌要求。所有口腔内诊疗器械，必须符合“一人一用一消毒或（和）灭菌”要求。</w:t>
            </w:r>
          </w:p>
          <w:p w14:paraId="29654AD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（4）每次治疗开始前和结束后</w:t>
            </w:r>
            <w:r>
              <w:rPr>
                <w:rFonts w:hint="eastAsia" w:ascii="宋体" w:hAnsi="宋体" w:cs="宋体"/>
                <w:i w:val="0"/>
                <w:iCs w:val="0"/>
                <w:color w:val="auto"/>
                <w:sz w:val="18"/>
                <w:szCs w:val="18"/>
                <w:highlight w:val="none"/>
                <w:u w:val="none"/>
                <w:lang w:val="en-US" w:eastAsia="zh-CN"/>
              </w:rPr>
              <w:t>需</w:t>
            </w:r>
            <w:r>
              <w:rPr>
                <w:rFonts w:hint="eastAsia" w:ascii="宋体" w:hAnsi="宋体" w:eastAsia="宋体" w:cs="宋体"/>
                <w:i w:val="0"/>
                <w:iCs w:val="0"/>
                <w:color w:val="auto"/>
                <w:sz w:val="18"/>
                <w:szCs w:val="18"/>
                <w:highlight w:val="none"/>
                <w:u w:val="none"/>
                <w:lang w:val="en-US" w:eastAsia="zh-CN"/>
              </w:rPr>
              <w:t>及时踩脚闸冲洗管腔30秒，减少回吸污染；具备条件的机构可配备管腔防回吸装置或使用防回吸牙科手机。</w:t>
            </w:r>
          </w:p>
          <w:p w14:paraId="496D824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（5）牙科综合治疗台等易受污染的接触区，应当采用一用一更换的防污保护措施，做到一人一清洁/消毒；清洁工具、设施需满足机构日常工作需求，并至少根据污染、清洁的不同需求设置标识与颜色区分。</w:t>
            </w:r>
          </w:p>
          <w:p w14:paraId="51456BA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（6）医护人员应当掌握牙模消毒流程，涵盖阴模、阳模、义齿、咬合记录，核查石膏有效期与模型处理对应溶液。</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6C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672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eastAsia="zh-CN"/>
              </w:rPr>
              <w:t>采取实地检查、查阅资料方式开展评分。</w:t>
            </w:r>
          </w:p>
          <w:p w14:paraId="7E9029C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（1）消毒灭菌工作人员</w:t>
            </w:r>
            <w:r>
              <w:rPr>
                <w:rFonts w:hint="eastAsia" w:ascii="宋体" w:hAnsi="宋体" w:cs="宋体"/>
                <w:i w:val="0"/>
                <w:iCs w:val="0"/>
                <w:color w:val="auto"/>
                <w:sz w:val="18"/>
                <w:szCs w:val="18"/>
                <w:highlight w:val="none"/>
                <w:u w:val="none"/>
                <w:lang w:val="en-US" w:eastAsia="zh-CN"/>
              </w:rPr>
              <w:t>未</w:t>
            </w:r>
            <w:r>
              <w:rPr>
                <w:rFonts w:hint="eastAsia" w:ascii="宋体" w:hAnsi="宋体" w:eastAsia="宋体" w:cs="宋体"/>
                <w:i w:val="0"/>
                <w:iCs w:val="0"/>
                <w:color w:val="auto"/>
                <w:sz w:val="18"/>
                <w:szCs w:val="18"/>
                <w:highlight w:val="none"/>
                <w:u w:val="none"/>
                <w:lang w:val="en-US" w:eastAsia="zh-CN"/>
              </w:rPr>
              <w:t>参加岗前培训和继续教育</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扣2分</w:t>
            </w:r>
            <w:r>
              <w:rPr>
                <w:rFonts w:hint="eastAsia" w:ascii="宋体" w:hAnsi="宋体" w:eastAsia="宋体" w:cs="宋体"/>
                <w:i w:val="0"/>
                <w:iCs w:val="0"/>
                <w:color w:val="auto"/>
                <w:sz w:val="18"/>
                <w:szCs w:val="18"/>
                <w:highlight w:val="none"/>
                <w:u w:val="none"/>
              </w:rPr>
              <w:t>。</w:t>
            </w:r>
          </w:p>
          <w:p w14:paraId="3486BC8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（2）无委托协议或物品清单与实际工作不符</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扣2分。</w:t>
            </w:r>
          </w:p>
          <w:p w14:paraId="6476D35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3）记录不完善或不清晰，每项扣1分；每缺漏一处扣</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清洁消毒灭菌区域的布局、环境，灭菌消毒设备完好状态不符合要求（需至少配备医用B级压力蒸汽灭菌器），对委托其他机构开展口腔器械消毒灭菌的诊所，现场抽查考核回收、清洗或保湿环节相关知识，回答不全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分，回答完全错误扣</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；发现一个灭菌包包装不合格或湿包扣3分，扣完为止。</w:t>
            </w:r>
          </w:p>
          <w:p w14:paraId="4F57F48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（4）对评分内容第（3）</w:t>
            </w:r>
            <w:r>
              <w:rPr>
                <w:rFonts w:hint="eastAsia" w:ascii="宋体" w:hAnsi="宋体" w:cs="宋体"/>
                <w:i w:val="0"/>
                <w:iCs w:val="0"/>
                <w:color w:val="auto"/>
                <w:sz w:val="18"/>
                <w:szCs w:val="18"/>
                <w:highlight w:val="none"/>
                <w:u w:val="none"/>
                <w:lang w:val="en-US" w:eastAsia="zh-CN"/>
              </w:rPr>
              <w:t>至</w:t>
            </w:r>
            <w:r>
              <w:rPr>
                <w:rFonts w:hint="eastAsia" w:ascii="宋体" w:hAnsi="宋体" w:eastAsia="宋体" w:cs="宋体"/>
                <w:i w:val="0"/>
                <w:iCs w:val="0"/>
                <w:color w:val="auto"/>
                <w:sz w:val="18"/>
                <w:szCs w:val="18"/>
                <w:highlight w:val="none"/>
                <w:u w:val="none"/>
                <w:lang w:val="en-US" w:eastAsia="zh-CN"/>
              </w:rPr>
              <w:t>（6）项开展诊疗现场核查，不合格不得分；现场提问医护人员，回答不正确每项扣</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分，回答不完全每项扣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w:t>
            </w:r>
          </w:p>
        </w:tc>
      </w:tr>
      <w:tr w14:paraId="0151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3" w:hRule="atLeast"/>
        </w:trPr>
        <w:tc>
          <w:tcPr>
            <w:tcW w:w="1127" w:type="dxa"/>
            <w:tcBorders>
              <w:top w:val="single" w:color="auto" w:sz="4" w:space="0"/>
              <w:left w:val="single" w:color="000000" w:sz="4" w:space="0"/>
              <w:bottom w:val="single" w:color="000000" w:sz="4" w:space="0"/>
              <w:right w:val="single" w:color="000000" w:sz="4" w:space="0"/>
            </w:tcBorders>
            <w:shd w:val="clear" w:color="auto" w:fill="auto"/>
            <w:vAlign w:val="center"/>
          </w:tcPr>
          <w:p w14:paraId="2AB5FC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.8</w:t>
            </w:r>
          </w:p>
          <w:p w14:paraId="4F74B3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无菌物品</w:t>
            </w:r>
          </w:p>
          <w:p w14:paraId="6BADC4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4D8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（1）</w:t>
            </w:r>
            <w:r>
              <w:rPr>
                <w:rFonts w:hint="eastAsia" w:ascii="宋体" w:hAnsi="宋体" w:eastAsia="宋体" w:cs="宋体"/>
                <w:i w:val="0"/>
                <w:iCs w:val="0"/>
                <w:color w:val="auto"/>
                <w:sz w:val="18"/>
                <w:szCs w:val="18"/>
                <w:highlight w:val="none"/>
                <w:u w:val="none"/>
                <w:lang w:val="en-US" w:eastAsia="zh-CN"/>
              </w:rPr>
              <w:t>储存条件及有效期符合规范要求。无菌物品须存放于阴凉、干燥、清洁、标识清晰的无菌物品专用柜内，存放须满足离地≥20cm、离墙≥5cm、距天花板≥50cm的要求。</w:t>
            </w:r>
          </w:p>
          <w:p w14:paraId="5A72995B">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（2）按要求开展温湿度监测并留存记录。</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（3）对无菌物品落实三证管理，且所有物品均在有效期内。</w:t>
            </w:r>
          </w:p>
          <w:p w14:paraId="1CE27DB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4）柜内物品分类清晰，按失效期顺序摆放，分区固定放置，执行先进先出原则。无菌物品标识清晰、包装完好无破损，无过期失效、湿包现象；存放无菌物品的容器清洁无污迹，非无菌物品不得与无菌物品混放。</w:t>
            </w:r>
          </w:p>
          <w:p w14:paraId="035F566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（5）无菌物品执行一人一用一灭菌要求，由专人负责管理，定期开展检查。</w:t>
            </w:r>
          </w:p>
          <w:p w14:paraId="53F1532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（6）可重复使用的器械使用后，须存放于带盖、密封、标识清晰的专用储物盒内，由供应室统一回收；器械表面存有污迹的，使用后须及时清除污迹。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D921">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AB1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采取实地检查、查阅资料与现场考核方式开展评分。</w:t>
            </w:r>
          </w:p>
          <w:p w14:paraId="1B0CACF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（1）储存条件不符合要求，每一项扣0.5分。</w:t>
            </w:r>
          </w:p>
          <w:p w14:paraId="66C4670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（2）未开展温湿度管理，扣2分。</w:t>
            </w:r>
          </w:p>
          <w:p w14:paraId="7581A9A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（3）未落实三证管理，</w:t>
            </w:r>
            <w:r>
              <w:rPr>
                <w:rFonts w:hint="eastAsia" w:ascii="宋体" w:hAnsi="宋体" w:eastAsia="宋体" w:cs="宋体"/>
                <w:b w:val="0"/>
                <w:bCs w:val="0"/>
                <w:i w:val="0"/>
                <w:iCs w:val="0"/>
                <w:color w:val="auto"/>
                <w:sz w:val="18"/>
                <w:szCs w:val="18"/>
                <w:highlight w:val="none"/>
                <w:u w:val="none"/>
                <w:lang w:val="en-US" w:eastAsia="zh-CN"/>
              </w:rPr>
              <w:t>本项</w:t>
            </w:r>
            <w:r>
              <w:rPr>
                <w:rFonts w:hint="eastAsia" w:ascii="宋体" w:hAnsi="宋体" w:eastAsia="宋体" w:cs="宋体"/>
                <w:i w:val="0"/>
                <w:iCs w:val="0"/>
                <w:color w:val="auto"/>
                <w:sz w:val="18"/>
                <w:szCs w:val="18"/>
                <w:highlight w:val="none"/>
                <w:u w:val="none"/>
                <w:lang w:val="en-US" w:eastAsia="zh-CN"/>
              </w:rPr>
              <w:t>不得分。</w:t>
            </w:r>
          </w:p>
          <w:p w14:paraId="37E40D8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（4）无菌物品管理不规范</w:t>
            </w:r>
            <w:r>
              <w:rPr>
                <w:rFonts w:hint="eastAsia" w:ascii="宋体" w:hAnsi="宋体" w:cs="宋体"/>
                <w:i w:val="0"/>
                <w:iCs w:val="0"/>
                <w:color w:val="auto"/>
                <w:sz w:val="18"/>
                <w:szCs w:val="18"/>
                <w:highlight w:val="none"/>
                <w:u w:val="none"/>
                <w:lang w:val="en-US" w:eastAsia="zh-CN"/>
              </w:rPr>
              <w:t>，存在</w:t>
            </w:r>
            <w:r>
              <w:rPr>
                <w:rFonts w:hint="eastAsia" w:ascii="宋体" w:hAnsi="宋体" w:eastAsia="宋体" w:cs="宋体"/>
                <w:i w:val="0"/>
                <w:iCs w:val="0"/>
                <w:color w:val="auto"/>
                <w:sz w:val="18"/>
                <w:szCs w:val="18"/>
                <w:highlight w:val="none"/>
                <w:u w:val="none"/>
                <w:lang w:val="en-US" w:eastAsia="zh-CN"/>
              </w:rPr>
              <w:t>过期、湿包</w:t>
            </w:r>
            <w:r>
              <w:rPr>
                <w:rFonts w:hint="eastAsia" w:ascii="宋体" w:hAnsi="宋体" w:cs="宋体"/>
                <w:i w:val="0"/>
                <w:iCs w:val="0"/>
                <w:color w:val="auto"/>
                <w:sz w:val="18"/>
                <w:szCs w:val="18"/>
                <w:highlight w:val="none"/>
                <w:u w:val="none"/>
                <w:lang w:val="en-US" w:eastAsia="zh-CN"/>
              </w:rPr>
              <w:t>等问题的</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b w:val="0"/>
                <w:bCs w:val="0"/>
                <w:i w:val="0"/>
                <w:iCs w:val="0"/>
                <w:color w:val="auto"/>
                <w:sz w:val="18"/>
                <w:szCs w:val="18"/>
                <w:highlight w:val="none"/>
                <w:u w:val="none"/>
                <w:lang w:val="en-US" w:eastAsia="zh-CN"/>
              </w:rPr>
              <w:t>本项</w:t>
            </w:r>
            <w:r>
              <w:rPr>
                <w:rFonts w:hint="eastAsia" w:ascii="宋体" w:hAnsi="宋体" w:eastAsia="宋体" w:cs="宋体"/>
                <w:i w:val="0"/>
                <w:iCs w:val="0"/>
                <w:color w:val="auto"/>
                <w:sz w:val="18"/>
                <w:szCs w:val="18"/>
                <w:highlight w:val="none"/>
                <w:u w:val="none"/>
                <w:lang w:val="en-US" w:eastAsia="zh-CN"/>
              </w:rPr>
              <w:t>不得分。</w:t>
            </w:r>
          </w:p>
          <w:p w14:paraId="5475501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（5）</w:t>
            </w:r>
            <w:r>
              <w:rPr>
                <w:rFonts w:hint="eastAsia" w:ascii="宋体" w:hAnsi="宋体" w:cs="宋体"/>
                <w:i w:val="0"/>
                <w:iCs w:val="0"/>
                <w:color w:val="auto"/>
                <w:sz w:val="18"/>
                <w:szCs w:val="18"/>
                <w:highlight w:val="none"/>
                <w:u w:val="none"/>
                <w:lang w:val="en-US" w:eastAsia="zh-CN"/>
              </w:rPr>
              <w:t>未按要求</w:t>
            </w:r>
            <w:r>
              <w:rPr>
                <w:rFonts w:hint="eastAsia" w:ascii="宋体" w:hAnsi="宋体" w:eastAsia="宋体" w:cs="宋体"/>
                <w:i w:val="0"/>
                <w:iCs w:val="0"/>
                <w:color w:val="auto"/>
                <w:sz w:val="18"/>
                <w:szCs w:val="18"/>
                <w:highlight w:val="none"/>
                <w:u w:val="none"/>
                <w:lang w:val="en-US" w:eastAsia="zh-CN"/>
              </w:rPr>
              <w:t>标注无菌物品开启时间，扣2分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一次性无菌物品重复使用的</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b w:val="0"/>
                <w:bCs w:val="0"/>
                <w:i w:val="0"/>
                <w:iCs w:val="0"/>
                <w:color w:val="auto"/>
                <w:sz w:val="18"/>
                <w:szCs w:val="18"/>
                <w:highlight w:val="none"/>
                <w:u w:val="none"/>
                <w:lang w:val="en-US" w:eastAsia="zh-CN"/>
              </w:rPr>
              <w:t>本项</w:t>
            </w:r>
            <w:r>
              <w:rPr>
                <w:rFonts w:hint="eastAsia" w:ascii="宋体" w:hAnsi="宋体" w:eastAsia="宋体" w:cs="宋体"/>
                <w:i w:val="0"/>
                <w:iCs w:val="0"/>
                <w:color w:val="auto"/>
                <w:sz w:val="18"/>
                <w:szCs w:val="18"/>
                <w:highlight w:val="none"/>
                <w:u w:val="none"/>
                <w:lang w:val="en-US" w:eastAsia="zh-CN"/>
              </w:rPr>
              <w:t>不得分。</w:t>
            </w:r>
          </w:p>
          <w:p w14:paraId="4F34E206">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（6）可重复使用器械的回收管理不规范，扣5分。</w:t>
            </w:r>
            <w:r>
              <w:rPr>
                <w:rFonts w:hint="eastAsia" w:ascii="宋体" w:hAnsi="宋体" w:eastAsia="宋体" w:cs="宋体"/>
                <w:color w:val="auto"/>
                <w:kern w:val="0"/>
                <w:sz w:val="18"/>
                <w:szCs w:val="18"/>
                <w:highlight w:val="none"/>
                <w:lang w:val="en-US" w:eastAsia="zh-CN"/>
              </w:rPr>
              <w:t>（备注：</w:t>
            </w:r>
            <w:r>
              <w:rPr>
                <w:rFonts w:hint="eastAsia" w:ascii="宋体" w:hAnsi="宋体" w:eastAsia="宋体" w:cs="宋体"/>
                <w:color w:val="auto"/>
                <w:kern w:val="0"/>
                <w:sz w:val="18"/>
                <w:szCs w:val="18"/>
                <w:highlight w:val="none"/>
              </w:rPr>
              <w:t>现场抽查考核可复用性器械回收、清洗、干燥、消毒、灭菌流程，并抽查</w:t>
            </w:r>
            <w:r>
              <w:rPr>
                <w:rFonts w:hint="eastAsia" w:ascii="宋体" w:hAnsi="宋体" w:eastAsia="宋体" w:cs="宋体"/>
                <w:color w:val="auto"/>
                <w:kern w:val="0"/>
                <w:sz w:val="18"/>
                <w:szCs w:val="18"/>
                <w:highlight w:val="none"/>
                <w:lang w:eastAsia="zh-CN"/>
              </w:rPr>
              <w:t>一件</w:t>
            </w:r>
            <w:r>
              <w:rPr>
                <w:rFonts w:hint="eastAsia" w:ascii="宋体" w:hAnsi="宋体" w:eastAsia="宋体" w:cs="宋体"/>
                <w:color w:val="auto"/>
                <w:kern w:val="0"/>
                <w:sz w:val="18"/>
                <w:szCs w:val="18"/>
                <w:highlight w:val="none"/>
              </w:rPr>
              <w:t>自行消毒灭菌的器械包，</w:t>
            </w:r>
            <w:r>
              <w:rPr>
                <w:rFonts w:hint="eastAsia" w:ascii="宋体" w:hAnsi="宋体" w:eastAsia="宋体" w:cs="宋体"/>
                <w:color w:val="auto"/>
                <w:kern w:val="0"/>
                <w:sz w:val="18"/>
                <w:szCs w:val="18"/>
                <w:highlight w:val="none"/>
                <w:lang w:eastAsia="zh-CN"/>
              </w:rPr>
              <w:t>核查</w:t>
            </w:r>
            <w:r>
              <w:rPr>
                <w:rFonts w:hint="eastAsia" w:ascii="宋体" w:hAnsi="宋体" w:eastAsia="宋体" w:cs="宋体"/>
                <w:color w:val="auto"/>
                <w:kern w:val="0"/>
                <w:sz w:val="18"/>
                <w:szCs w:val="18"/>
                <w:highlight w:val="none"/>
              </w:rPr>
              <w:t>清洁消毒质量</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rPr>
              <w:t>灭菌操作流程及近期的灭菌监测记录</w:t>
            </w:r>
            <w:r>
              <w:rPr>
                <w:rFonts w:hint="eastAsia" w:ascii="宋体" w:hAnsi="宋体" w:eastAsia="宋体" w:cs="宋体"/>
                <w:color w:val="auto"/>
                <w:kern w:val="0"/>
                <w:sz w:val="18"/>
                <w:szCs w:val="18"/>
                <w:highlight w:val="none"/>
                <w:lang w:eastAsia="zh-CN"/>
              </w:rPr>
              <w:t>。）</w:t>
            </w:r>
          </w:p>
        </w:tc>
      </w:tr>
      <w:tr w14:paraId="775E0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1" w:hRule="atLeast"/>
        </w:trPr>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189B">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.9</w:t>
            </w:r>
          </w:p>
          <w:p w14:paraId="1C2422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无菌操作</w:t>
            </w:r>
          </w:p>
          <w:p w14:paraId="2239A9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技术</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FF0C">
            <w:pPr>
              <w:keepNext w:val="0"/>
              <w:keepLines w:val="0"/>
              <w:pageBreakBefore w:val="0"/>
              <w:widowControl w:val="0"/>
              <w:numPr>
                <w:ilvl w:val="0"/>
                <w:numId w:val="0"/>
              </w:numPr>
              <w:kinsoku/>
              <w:wordWrap/>
              <w:overflowPunct/>
              <w:topLinePunct w:val="0"/>
              <w:autoSpaceDE/>
              <w:autoSpaceDN/>
              <w:bidi w:val="0"/>
              <w:adjustRightInd/>
              <w:snapToGrid/>
              <w:spacing w:line="300" w:lineRule="atLeast"/>
              <w:jc w:val="left"/>
              <w:textAlignment w:val="auto"/>
              <w:rPr>
                <w:rFonts w:hint="eastAsia" w:eastAsia="宋体"/>
                <w:color w:val="auto"/>
                <w:highlight w:val="none"/>
                <w:lang w:eastAsia="zh-CN"/>
              </w:rPr>
            </w:pPr>
            <w:r>
              <w:rPr>
                <w:rFonts w:hint="eastAsia" w:ascii="宋体" w:hAnsi="宋体" w:cs="宋体"/>
                <w:i w:val="0"/>
                <w:iCs w:val="0"/>
                <w:color w:val="auto"/>
                <w:sz w:val="18"/>
                <w:szCs w:val="18"/>
                <w:highlight w:val="none"/>
                <w:u w:val="none"/>
                <w:lang w:val="en-US" w:eastAsia="zh-CN"/>
              </w:rPr>
              <w:t>（1）医护人员应当掌握并落实手术无菌原则。抽查两组操作，无菌技术操作需正确规范，药物应当现配现用，抽出的药液与配置完成的静脉输注无菌液体，放置时间不得超过2小时。</w:t>
            </w:r>
          </w:p>
          <w:p w14:paraId="3C87919D">
            <w:pPr>
              <w:pStyle w:val="7"/>
              <w:keepNext w:val="0"/>
              <w:keepLines w:val="0"/>
              <w:pageBreakBefore w:val="0"/>
              <w:widowControl/>
              <w:numPr>
                <w:ilvl w:val="0"/>
                <w:numId w:val="0"/>
              </w:numPr>
              <w:kinsoku/>
              <w:wordWrap/>
              <w:overflowPunct/>
              <w:topLinePunct w:val="0"/>
              <w:autoSpaceDE/>
              <w:autoSpaceDN/>
              <w:bidi w:val="0"/>
              <w:adjustRightInd/>
              <w:snapToGrid/>
              <w:spacing w:line="300" w:lineRule="exact"/>
              <w:ind w:left="0" w:leftChars="0" w:firstLine="0" w:firstLineChars="0"/>
              <w:jc w:val="left"/>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（2）配备符合消毒要求的合格设备、设施与消毒剂，外用消毒剂应当标注开启时间及有效期。</w:t>
            </w:r>
          </w:p>
          <w:p w14:paraId="7A892D5E">
            <w:pPr>
              <w:pStyle w:val="7"/>
              <w:keepNext w:val="0"/>
              <w:keepLines w:val="0"/>
              <w:pageBreakBefore w:val="0"/>
              <w:widowControl/>
              <w:numPr>
                <w:ilvl w:val="0"/>
                <w:numId w:val="0"/>
              </w:numPr>
              <w:kinsoku/>
              <w:wordWrap/>
              <w:overflowPunct/>
              <w:topLinePunct w:val="0"/>
              <w:autoSpaceDE/>
              <w:autoSpaceDN/>
              <w:bidi w:val="0"/>
              <w:adjustRightInd/>
              <w:snapToGrid/>
              <w:spacing w:line="300" w:lineRule="exact"/>
              <w:ind w:left="0" w:leftChars="0" w:firstLine="0" w:firstLineChars="0"/>
              <w:jc w:val="left"/>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安全注射：诊疗活动中使用的一次性使用注射用具应当一人一针一管一用一废弃；使用的可复用注射用具应当一人一针一管一用一清洗灭菌；杜绝注射用具及注射药品的共用、复用等不规范使用。严格实施无菌技术操作。</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17C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B3DD">
            <w:pPr>
              <w:pStyle w:val="7"/>
              <w:keepNext w:val="0"/>
              <w:keepLines w:val="0"/>
              <w:pageBreakBefore w:val="0"/>
              <w:widowControl/>
              <w:numPr>
                <w:ilvl w:val="0"/>
                <w:numId w:val="0"/>
              </w:numPr>
              <w:kinsoku/>
              <w:wordWrap/>
              <w:overflowPunct/>
              <w:topLinePunct w:val="0"/>
              <w:autoSpaceDE/>
              <w:autoSpaceDN/>
              <w:bidi w:val="0"/>
              <w:adjustRightInd/>
              <w:snapToGrid/>
              <w:spacing w:line="300" w:lineRule="exact"/>
              <w:jc w:val="left"/>
              <w:rPr>
                <w:rFonts w:hint="eastAsia" w:eastAsia="宋体"/>
                <w:color w:val="auto"/>
                <w:highlight w:val="none"/>
                <w:lang w:eastAsia="zh-CN"/>
              </w:rPr>
            </w:pPr>
            <w:r>
              <w:rPr>
                <w:rFonts w:hint="eastAsia" w:ascii="宋体" w:hAnsi="宋体" w:eastAsia="宋体" w:cs="宋体"/>
                <w:i w:val="0"/>
                <w:iCs w:val="0"/>
                <w:color w:val="auto"/>
                <w:kern w:val="2"/>
                <w:sz w:val="18"/>
                <w:szCs w:val="18"/>
                <w:highlight w:val="none"/>
                <w:u w:val="none"/>
                <w:lang w:val="en-US" w:eastAsia="zh-CN" w:bidi="ar-SA"/>
              </w:rPr>
              <w:t>采用实地检查方式评分。</w:t>
            </w:r>
          </w:p>
          <w:p w14:paraId="32DE43C7">
            <w:pPr>
              <w:pStyle w:val="7"/>
              <w:keepNext w:val="0"/>
              <w:keepLines w:val="0"/>
              <w:pageBreakBefore w:val="0"/>
              <w:widowControl/>
              <w:numPr>
                <w:ilvl w:val="0"/>
                <w:numId w:val="0"/>
              </w:numPr>
              <w:kinsoku/>
              <w:wordWrap/>
              <w:overflowPunct/>
              <w:topLinePunct w:val="0"/>
              <w:autoSpaceDE/>
              <w:autoSpaceDN/>
              <w:bidi w:val="0"/>
              <w:adjustRightInd/>
              <w:snapToGrid/>
              <w:spacing w:line="300" w:lineRule="exact"/>
              <w:jc w:val="left"/>
              <w:rPr>
                <w:rFonts w:hint="eastAsia" w:eastAsia="宋体"/>
                <w:color w:val="auto"/>
                <w:highlight w:val="none"/>
                <w:lang w:eastAsia="zh-CN"/>
              </w:rPr>
            </w:pPr>
            <w:r>
              <w:rPr>
                <w:rFonts w:hint="eastAsia" w:ascii="宋体" w:hAnsi="宋体" w:eastAsia="宋体" w:cs="宋体"/>
                <w:i w:val="0"/>
                <w:iCs w:val="0"/>
                <w:color w:val="auto"/>
                <w:kern w:val="2"/>
                <w:sz w:val="18"/>
                <w:szCs w:val="18"/>
                <w:highlight w:val="none"/>
                <w:u w:val="none"/>
                <w:lang w:val="en-US" w:eastAsia="zh-CN" w:bidi="ar-SA"/>
              </w:rPr>
              <w:t>（1）现场观察医护人员操作或要求医护人员现场展示无菌操作，操作步骤</w:t>
            </w:r>
            <w:r>
              <w:rPr>
                <w:rFonts w:hint="eastAsia" w:ascii="宋体" w:hAnsi="宋体" w:cs="宋体"/>
                <w:i w:val="0"/>
                <w:iCs w:val="0"/>
                <w:color w:val="auto"/>
                <w:kern w:val="2"/>
                <w:sz w:val="18"/>
                <w:szCs w:val="18"/>
                <w:highlight w:val="none"/>
                <w:u w:val="none"/>
                <w:lang w:val="en-US" w:eastAsia="zh-CN" w:bidi="ar-SA"/>
              </w:rPr>
              <w:t>存在</w:t>
            </w:r>
            <w:r>
              <w:rPr>
                <w:rFonts w:hint="eastAsia" w:ascii="宋体" w:hAnsi="宋体" w:eastAsia="宋体" w:cs="宋体"/>
                <w:i w:val="0"/>
                <w:iCs w:val="0"/>
                <w:color w:val="auto"/>
                <w:kern w:val="2"/>
                <w:sz w:val="18"/>
                <w:szCs w:val="18"/>
                <w:highlight w:val="none"/>
                <w:u w:val="none"/>
                <w:lang w:val="en-US" w:eastAsia="zh-CN" w:bidi="ar-SA"/>
              </w:rPr>
              <w:t>污染问题的，此项不得分。</w:t>
            </w:r>
          </w:p>
          <w:p w14:paraId="03537BF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2"/>
                <w:sz w:val="18"/>
                <w:szCs w:val="18"/>
                <w:highlight w:val="none"/>
                <w:u w:val="none"/>
                <w:lang w:val="en-US" w:eastAsia="zh-CN" w:bidi="ar-SA"/>
              </w:rPr>
              <w:t>（2）</w:t>
            </w:r>
            <w:r>
              <w:rPr>
                <w:rFonts w:hint="eastAsia" w:ascii="宋体" w:hAnsi="宋体" w:eastAsia="宋体" w:cs="宋体"/>
                <w:i w:val="0"/>
                <w:iCs w:val="0"/>
                <w:color w:val="auto"/>
                <w:sz w:val="18"/>
                <w:szCs w:val="18"/>
                <w:highlight w:val="none"/>
                <w:u w:val="none"/>
                <w:lang w:val="en-US" w:eastAsia="zh-CN"/>
              </w:rPr>
              <w:t>未标注消毒剂及无菌物品开启时间，</w:t>
            </w:r>
            <w:r>
              <w:rPr>
                <w:rFonts w:hint="eastAsia" w:ascii="宋体" w:hAnsi="宋体" w:eastAsia="宋体" w:cs="宋体"/>
                <w:i w:val="0"/>
                <w:iCs w:val="0"/>
                <w:color w:val="auto"/>
                <w:kern w:val="2"/>
                <w:sz w:val="18"/>
                <w:szCs w:val="18"/>
                <w:highlight w:val="none"/>
                <w:u w:val="none"/>
                <w:lang w:val="en-US" w:eastAsia="zh-CN" w:bidi="ar-SA"/>
              </w:rPr>
              <w:t>扣1分；超出有效期仍继续使用的，扣2分。</w:t>
            </w:r>
          </w:p>
          <w:p w14:paraId="3E722C10">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kern w:val="2"/>
                <w:sz w:val="18"/>
                <w:szCs w:val="18"/>
                <w:highlight w:val="none"/>
                <w:u w:val="none"/>
                <w:lang w:val="en-US" w:eastAsia="zh-CN" w:bidi="ar-SA"/>
              </w:rPr>
              <w:t>(3)发现一次性注射器具复用、多人共用针具，本项不得分。</w:t>
            </w:r>
          </w:p>
        </w:tc>
      </w:tr>
    </w:tbl>
    <w:p w14:paraId="72EAF2F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tbl>
      <w:tblPr>
        <w:tblStyle w:val="3"/>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7"/>
        <w:gridCol w:w="5563"/>
        <w:gridCol w:w="624"/>
        <w:gridCol w:w="3628"/>
      </w:tblGrid>
      <w:tr w14:paraId="47E1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3002">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4CA5">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2FB9">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3F4B">
            <w:pPr>
              <w:numPr>
                <w:ilvl w:val="0"/>
                <w:numId w:val="0"/>
              </w:numPr>
              <w:ind w:left="0" w:leftChars="0" w:firstLine="0" w:firstLineChars="0"/>
              <w:jc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评分说明</w:t>
            </w:r>
          </w:p>
        </w:tc>
      </w:tr>
      <w:tr w14:paraId="13FB4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1" w:hRule="atLeast"/>
        </w:trPr>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4B65">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.10</w:t>
            </w:r>
          </w:p>
          <w:p w14:paraId="67E2300F">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Times New Roman"/>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手卫生</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E3C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（1）手卫生设施齐全(水龙头、擦手纸或烘干机、快速手消毒剂、垃圾桶、时钟、洗手液、七步洗手法图示)配置满足临床工作需求。</w:t>
            </w:r>
          </w:p>
          <w:p w14:paraId="00287AEC">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）检查医护人员诊疗操作过程中的手卫生落实情况。医务人员掌握洗手法，手卫生指征:外科医生掌握外科手清洗消毒法。</w:t>
            </w:r>
          </w:p>
          <w:p w14:paraId="41B0680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）未设置洗手池的区域须配备速干手消毒液，产品在启用有效期内，并标注开启日期、失效日期及开启人签名。</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37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val="0"/>
                <w:bCs w:val="0"/>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2E8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查阅资料和抽考</w:t>
            </w:r>
            <w:r>
              <w:rPr>
                <w:rFonts w:hint="eastAsia" w:ascii="宋体" w:hAnsi="宋体" w:cs="宋体"/>
                <w:i w:val="0"/>
                <w:iCs w:val="0"/>
                <w:color w:val="auto"/>
                <w:sz w:val="18"/>
                <w:szCs w:val="18"/>
                <w:highlight w:val="none"/>
                <w:u w:val="none"/>
                <w:lang w:val="en-US" w:eastAsia="zh-CN"/>
              </w:rPr>
              <w:t>医护</w:t>
            </w:r>
            <w:r>
              <w:rPr>
                <w:rFonts w:hint="eastAsia" w:ascii="宋体" w:hAnsi="宋体" w:eastAsia="宋体" w:cs="宋体"/>
                <w:i w:val="0"/>
                <w:iCs w:val="0"/>
                <w:color w:val="auto"/>
                <w:sz w:val="18"/>
                <w:szCs w:val="18"/>
                <w:highlight w:val="none"/>
                <w:u w:val="none"/>
                <w:lang w:val="en-US" w:eastAsia="zh-CN"/>
              </w:rPr>
              <w:t>操作。</w:t>
            </w:r>
          </w:p>
          <w:p w14:paraId="295DE5DC">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（1）</w:t>
            </w:r>
            <w:r>
              <w:rPr>
                <w:rFonts w:hint="eastAsia" w:ascii="宋体" w:hAnsi="宋体" w:eastAsia="宋体" w:cs="宋体"/>
                <w:i w:val="0"/>
                <w:iCs w:val="0"/>
                <w:color w:val="auto"/>
                <w:sz w:val="18"/>
                <w:szCs w:val="18"/>
                <w:highlight w:val="none"/>
                <w:u w:val="none"/>
                <w:lang w:val="en-US" w:eastAsia="zh-CN"/>
              </w:rPr>
              <w:t>未配置洗手或手消毒设施，扣</w:t>
            </w:r>
            <w:r>
              <w:rPr>
                <w:rFonts w:hint="eastAsia" w:ascii="宋体" w:hAnsi="宋体" w:cs="宋体"/>
                <w:i w:val="0"/>
                <w:iCs w:val="0"/>
                <w:color w:val="auto"/>
                <w:sz w:val="18"/>
                <w:szCs w:val="18"/>
                <w:highlight w:val="none"/>
                <w:u w:val="none"/>
                <w:lang w:val="en-US" w:eastAsia="zh-CN"/>
              </w:rPr>
              <w:t>3.5</w:t>
            </w:r>
            <w:r>
              <w:rPr>
                <w:rFonts w:hint="eastAsia" w:ascii="宋体" w:hAnsi="宋体" w:eastAsia="宋体" w:cs="宋体"/>
                <w:i w:val="0"/>
                <w:iCs w:val="0"/>
                <w:color w:val="auto"/>
                <w:sz w:val="18"/>
                <w:szCs w:val="18"/>
                <w:highlight w:val="none"/>
                <w:u w:val="none"/>
                <w:lang w:val="en-US" w:eastAsia="zh-CN"/>
              </w:rPr>
              <w:t>分;每缺一项设施，扣0.5分。</w:t>
            </w:r>
          </w:p>
          <w:p w14:paraId="40F5EAF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2</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抽考一名医师一名护士，手卫生操作不规范，扣2分。</w:t>
            </w:r>
          </w:p>
          <w:p w14:paraId="6165B996">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3</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已开启的速干手消毒液未注明开启相关信息，每缺一项，扣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val="en-US" w:eastAsia="zh-CN"/>
              </w:rPr>
              <w:t>分;若消毒液过期，扣2分。</w:t>
            </w:r>
          </w:p>
        </w:tc>
      </w:tr>
      <w:tr w14:paraId="70AFE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17" w:hRule="atLeast"/>
        </w:trPr>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FA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.11</w:t>
            </w:r>
          </w:p>
          <w:p w14:paraId="20B92B41">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职业防护</w:t>
            </w:r>
          </w:p>
        </w:tc>
        <w:tc>
          <w:tcPr>
            <w:tcW w:w="5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E6C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（1）配备口罩、帽子、护目镜、隔离衣、手套等防护用品及操作流程图，医务人员严格遵循个人防护规范，正确使用各类防护用具。</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（2）落实安全注射原则。</w:t>
            </w:r>
          </w:p>
          <w:p w14:paraId="4E10F0F0">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（3）建立完善的职业暴露与安全防护制度并严格落实。</w:t>
            </w:r>
          </w:p>
          <w:p w14:paraId="3E1C61B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（4）留存完整的定期培训记录及职业暴露上报登记表。</w:t>
            </w:r>
          </w:p>
          <w:p w14:paraId="0085F48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（5）医护人员须掌握标准预防的概念、措施，严禁徒手拆分注射器针头与针筒、一体式一次性注射器直接整体投入锐器盒；掌握针刺伤发生的高危操作类型；掌握职业暴露紧急处理措施，发生锐器伤后需按照 “一挤二冲三消毒四报告” 的流程规范处置；机构需建立健全职业暴露管理制度及处理流程，相关资料留存备查。</w:t>
            </w:r>
          </w:p>
          <w:p w14:paraId="56AAFD7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（6）规范使用利器盒，标注启用时间，装载量不超过3/4。</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C116">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A48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采取实地检查、查阅资料与现场提问方式开展评估。</w:t>
            </w:r>
          </w:p>
          <w:p w14:paraId="2600FAF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（1）现场核查防护用品配置，每缺一项扣0.5分；被提问人员不掌握应急防护用品使用方法，扣2分；回答内容不完整，扣1分。</w:t>
            </w:r>
          </w:p>
          <w:p w14:paraId="2881877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（2）经现场核查发现违反安全注射及无菌操作原则，扣2分。</w:t>
            </w:r>
          </w:p>
          <w:p w14:paraId="6BED005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（3）未建立相关制度，扣3分；制度不完善，扣1分。</w:t>
            </w:r>
          </w:p>
          <w:p w14:paraId="31D88F8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（4）核查培训计划及相关资料（含签名、照片、记录），未制定培训计划扣1分；培训资料每缺一项扣1分。</w:t>
            </w:r>
          </w:p>
          <w:p w14:paraId="4BDEAF4A">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（5）提问一名医师及一名护士，不了解标准防护概念、职业暴露后无登记和追踪，扣2分；不掌握职业暴露处理流程或方法，扣2分；内容不熟悉，扣1分。</w:t>
            </w:r>
          </w:p>
          <w:p w14:paraId="62DC0A1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（6）利器盒使用不符合规范，扣2分；装载量超过限额，扣1分；未标注启用时间，扣1分；混放损伤性废物，扣1分。</w:t>
            </w:r>
          </w:p>
        </w:tc>
      </w:tr>
    </w:tbl>
    <w:p w14:paraId="3E01C892">
      <w:pPr>
        <w:rPr>
          <w:rFonts w:hint="eastAsia" w:ascii="宋体" w:hAnsi="宋体" w:cs="宋体"/>
          <w:b w:val="0"/>
          <w:bCs/>
          <w:color w:val="auto"/>
          <w:sz w:val="32"/>
          <w:szCs w:val="32"/>
          <w:highlight w:val="none"/>
          <w:lang w:val="en-US" w:eastAsia="zh-CN"/>
        </w:rPr>
      </w:pPr>
      <w:r>
        <w:rPr>
          <w:rFonts w:hint="eastAsia" w:ascii="宋体" w:hAnsi="宋体" w:cs="宋体"/>
          <w:b w:val="0"/>
          <w:bCs/>
          <w:color w:val="auto"/>
          <w:sz w:val="32"/>
          <w:szCs w:val="32"/>
          <w:highlight w:val="none"/>
          <w:lang w:val="en-US" w:eastAsia="zh-CN"/>
        </w:rPr>
        <w:br w:type="page"/>
      </w:r>
    </w:p>
    <w:p w14:paraId="3AB288AB">
      <w:pPr>
        <w:rPr>
          <w:rFonts w:hint="default" w:ascii="宋体" w:hAnsi="宋体" w:eastAsia="宋体" w:cs="宋体"/>
          <w:b w:val="0"/>
          <w:bCs/>
          <w:color w:val="auto"/>
          <w:sz w:val="32"/>
          <w:szCs w:val="32"/>
          <w:highlight w:val="none"/>
          <w:lang w:val="en-US" w:eastAsia="zh-CN"/>
        </w:rPr>
      </w:pPr>
      <w:r>
        <w:rPr>
          <w:rFonts w:hint="eastAsia" w:ascii="宋体" w:hAnsi="宋体" w:cs="宋体"/>
          <w:b w:val="0"/>
          <w:bCs/>
          <w:color w:val="auto"/>
          <w:sz w:val="32"/>
          <w:szCs w:val="32"/>
          <w:highlight w:val="none"/>
          <w:lang w:val="en-US" w:eastAsia="zh-CN"/>
        </w:rPr>
        <w:t>7</w:t>
      </w:r>
      <w:r>
        <w:rPr>
          <w:rFonts w:hint="eastAsia" w:ascii="宋体" w:hAnsi="宋体" w:eastAsia="宋体" w:cs="宋体"/>
          <w:b w:val="0"/>
          <w:bCs/>
          <w:color w:val="auto"/>
          <w:sz w:val="32"/>
          <w:szCs w:val="32"/>
          <w:highlight w:val="none"/>
          <w:lang w:val="en-US" w:eastAsia="zh-CN"/>
        </w:rPr>
        <w:t>.</w:t>
      </w:r>
      <w:r>
        <w:rPr>
          <w:rFonts w:hint="eastAsia" w:ascii="宋体" w:hAnsi="宋体" w:cs="宋体"/>
          <w:b w:val="0"/>
          <w:bCs/>
          <w:color w:val="auto"/>
          <w:sz w:val="32"/>
          <w:szCs w:val="32"/>
          <w:highlight w:val="none"/>
          <w:lang w:val="en-US" w:eastAsia="zh-CN"/>
        </w:rPr>
        <w:t>附加项</w:t>
      </w:r>
    </w:p>
    <w:tbl>
      <w:tblPr>
        <w:tblStyle w:val="3"/>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9808"/>
      </w:tblGrid>
      <w:tr w14:paraId="4ADE2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14:paraId="6E8983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9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430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附加分内容</w:t>
            </w:r>
          </w:p>
        </w:tc>
      </w:tr>
      <w:tr w14:paraId="0F6B1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restart"/>
            <w:tcBorders>
              <w:top w:val="single" w:color="auto" w:sz="4" w:space="0"/>
              <w:left w:val="single" w:color="auto" w:sz="4" w:space="0"/>
              <w:right w:val="single" w:color="auto" w:sz="4" w:space="0"/>
            </w:tcBorders>
            <w:shd w:val="clear" w:color="auto" w:fill="auto"/>
            <w:vAlign w:val="center"/>
          </w:tcPr>
          <w:p w14:paraId="608692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.1</w:t>
            </w:r>
          </w:p>
          <w:p w14:paraId="79A592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加分</w:t>
            </w:r>
            <w:r>
              <w:rPr>
                <w:rFonts w:hint="eastAsia" w:ascii="宋体" w:hAnsi="宋体" w:eastAsia="宋体" w:cs="宋体"/>
                <w:i w:val="0"/>
                <w:iCs w:val="0"/>
                <w:color w:val="auto"/>
                <w:sz w:val="18"/>
                <w:szCs w:val="18"/>
                <w:highlight w:val="none"/>
                <w:u w:val="none"/>
                <w:lang w:val="en-US" w:eastAsia="zh-CN"/>
              </w:rPr>
              <w:t>项</w:t>
            </w:r>
          </w:p>
          <w:p w14:paraId="724020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（累计加分不超过5分）</w:t>
            </w: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3F8D2CCC">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在核心期刊（必须为CN或ISSN前缀刊号）以上刊物发表本专业论文者，每篇文章加1分。</w:t>
            </w:r>
          </w:p>
        </w:tc>
      </w:tr>
      <w:tr w14:paraId="39AB3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4BFCC0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0F5D9C3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有本专业著书论著（需有出版号），每部加2分。</w:t>
            </w:r>
          </w:p>
        </w:tc>
      </w:tr>
      <w:tr w14:paraId="59E1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4F6CFB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244193B4">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有本专业科研立项（区级以上），每项加3分。</w:t>
            </w:r>
            <w:bookmarkStart w:id="0" w:name="_GoBack"/>
            <w:bookmarkEnd w:id="0"/>
            <w:r>
              <w:rPr>
                <w:rFonts w:hint="eastAsia" w:ascii="宋体" w:hAnsi="宋体" w:eastAsia="宋体" w:cs="宋体"/>
                <w:i w:val="0"/>
                <w:iCs w:val="0"/>
                <w:color w:val="auto"/>
                <w:sz w:val="18"/>
                <w:szCs w:val="18"/>
                <w:highlight w:val="none"/>
                <w:u w:val="none"/>
                <w:lang w:val="en-US" w:eastAsia="zh-CN"/>
              </w:rPr>
              <w:t>（根据项目负责人排名，前3名负责人，由高至低分别加3分、2分、1分。如前3名负责人均为同一家机构，加分不超过3分）</w:t>
            </w:r>
          </w:p>
        </w:tc>
      </w:tr>
      <w:tr w14:paraId="61CF9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384C25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6F5E534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获得奖项（有区级及以上政府部门认证），每项加1分。</w:t>
            </w:r>
          </w:p>
        </w:tc>
      </w:tr>
      <w:tr w14:paraId="508C9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2951FA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6F55CF6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被邀请为省级以上本专业学术会议、本专业继续教育培训等讲师，每人加1分。</w:t>
            </w:r>
          </w:p>
        </w:tc>
      </w:tr>
      <w:tr w14:paraId="70523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30C87D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71543742">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有加入工会、单位有党员参与党建活动或单位有成立党支部，并有开展文化建设、活动佐证材料，加1分。</w:t>
            </w:r>
          </w:p>
        </w:tc>
      </w:tr>
      <w:tr w14:paraId="12AC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623F92E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14:paraId="55C1280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配备除颤仪（限诊所），加1分。</w:t>
            </w:r>
          </w:p>
        </w:tc>
      </w:tr>
      <w:tr w14:paraId="3DB33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4EFF49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auto" w:sz="4" w:space="0"/>
              <w:right w:val="single" w:color="000000" w:sz="4" w:space="0"/>
            </w:tcBorders>
            <w:shd w:val="clear" w:color="auto" w:fill="auto"/>
            <w:vAlign w:val="center"/>
          </w:tcPr>
          <w:p w14:paraId="764E4CF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eastAsia" w:ascii="宋体" w:hAnsi="宋体" w:eastAsia="宋体" w:cs="宋体"/>
                <w:i w:val="0"/>
                <w:iCs w:val="0"/>
                <w:color w:val="auto"/>
                <w:sz w:val="18"/>
                <w:szCs w:val="18"/>
                <w:highlight w:val="none"/>
                <w:u w:val="none"/>
                <w:lang w:val="en-US" w:eastAsia="zh-CN"/>
              </w:rPr>
              <w:t>参加</w:t>
            </w:r>
            <w:r>
              <w:rPr>
                <w:rFonts w:hint="eastAsia" w:ascii="宋体" w:hAnsi="宋体" w:cs="宋体"/>
                <w:i w:val="0"/>
                <w:iCs w:val="0"/>
                <w:color w:val="auto"/>
                <w:sz w:val="18"/>
                <w:szCs w:val="18"/>
                <w:highlight w:val="none"/>
                <w:u w:val="none"/>
                <w:lang w:val="en-US" w:eastAsia="zh-CN"/>
              </w:rPr>
              <w:t>区社会医疗机构行业</w:t>
            </w:r>
            <w:r>
              <w:rPr>
                <w:rFonts w:hint="eastAsia" w:ascii="宋体" w:hAnsi="宋体" w:eastAsia="宋体" w:cs="宋体"/>
                <w:i w:val="0"/>
                <w:iCs w:val="0"/>
                <w:color w:val="auto"/>
                <w:sz w:val="18"/>
                <w:szCs w:val="18"/>
                <w:highlight w:val="none"/>
                <w:u w:val="none"/>
                <w:lang w:val="en-US" w:eastAsia="zh-CN"/>
              </w:rPr>
              <w:t>协会活动5次以上（含5次），加1分。</w:t>
            </w:r>
          </w:p>
        </w:tc>
      </w:tr>
      <w:tr w14:paraId="29E95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7" w:hRule="atLeast"/>
        </w:trPr>
        <w:tc>
          <w:tcPr>
            <w:tcW w:w="1134" w:type="dxa"/>
            <w:vMerge w:val="restart"/>
            <w:tcBorders>
              <w:top w:val="single" w:color="auto" w:sz="4" w:space="0"/>
              <w:left w:val="single" w:color="auto" w:sz="4" w:space="0"/>
              <w:right w:val="single" w:color="auto" w:sz="4" w:space="0"/>
            </w:tcBorders>
            <w:shd w:val="clear" w:color="auto" w:fill="auto"/>
            <w:vAlign w:val="center"/>
          </w:tcPr>
          <w:p w14:paraId="1CA927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2</w:t>
            </w:r>
          </w:p>
          <w:p w14:paraId="24EDF4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扣分</w:t>
            </w:r>
            <w:r>
              <w:rPr>
                <w:rFonts w:hint="eastAsia" w:ascii="宋体" w:hAnsi="宋体" w:eastAsia="宋体" w:cs="宋体"/>
                <w:i w:val="0"/>
                <w:iCs w:val="0"/>
                <w:color w:val="auto"/>
                <w:sz w:val="18"/>
                <w:szCs w:val="18"/>
                <w:highlight w:val="none"/>
                <w:u w:val="none"/>
                <w:lang w:val="en-US" w:eastAsia="zh-CN"/>
              </w:rPr>
              <w:t>项</w:t>
            </w:r>
          </w:p>
          <w:p w14:paraId="2E2C94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（累计扣分不超过</w:t>
            </w:r>
            <w:r>
              <w:rPr>
                <w:rFonts w:hint="eastAsia" w:ascii="宋体" w:hAnsi="宋体" w:cs="宋体"/>
                <w:i w:val="0"/>
                <w:iCs w:val="0"/>
                <w:color w:val="auto"/>
                <w:sz w:val="18"/>
                <w:szCs w:val="18"/>
                <w:highlight w:val="none"/>
                <w:u w:val="none"/>
                <w:lang w:val="en-US" w:eastAsia="zh-CN"/>
              </w:rPr>
              <w:t>10</w:t>
            </w:r>
            <w:r>
              <w:rPr>
                <w:rFonts w:hint="eastAsia" w:ascii="宋体" w:hAnsi="宋体" w:eastAsia="宋体" w:cs="宋体"/>
                <w:i w:val="0"/>
                <w:iCs w:val="0"/>
                <w:color w:val="auto"/>
                <w:sz w:val="18"/>
                <w:szCs w:val="18"/>
                <w:highlight w:val="none"/>
                <w:u w:val="none"/>
                <w:lang w:val="en-US" w:eastAsia="zh-CN"/>
              </w:rPr>
              <w:t>分）</w:t>
            </w:r>
          </w:p>
        </w:tc>
        <w:tc>
          <w:tcPr>
            <w:tcW w:w="9808" w:type="dxa"/>
            <w:tcBorders>
              <w:top w:val="single" w:color="auto" w:sz="4" w:space="0"/>
              <w:left w:val="single" w:color="auto" w:sz="4" w:space="0"/>
              <w:bottom w:val="single" w:color="000000" w:sz="4" w:space="0"/>
              <w:right w:val="single" w:color="auto" w:sz="4" w:space="0"/>
            </w:tcBorders>
            <w:shd w:val="clear" w:color="auto" w:fill="auto"/>
            <w:vAlign w:val="center"/>
          </w:tcPr>
          <w:p w14:paraId="6F9AB26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（1）评估周期内发生医疗事故、重大医疗差错，或涉及医美贷、医疗欺诈等严重违规行为的。（直接评定为E级。）</w:t>
            </w:r>
          </w:p>
        </w:tc>
      </w:tr>
      <w:tr w14:paraId="4999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14:paraId="6B296B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auto" w:sz="4" w:space="0"/>
            </w:tcBorders>
            <w:shd w:val="clear" w:color="auto" w:fill="auto"/>
            <w:vAlign w:val="center"/>
          </w:tcPr>
          <w:p w14:paraId="20F3135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color w:val="auto"/>
                <w:sz w:val="18"/>
                <w:szCs w:val="18"/>
                <w:highlight w:val="none"/>
                <w:u w:val="none"/>
              </w:rPr>
              <w:t>评估周期内，经核实，医疗机构因医疗护理差错产生医患投诉，按单起投诉予以扣分处置：投诉经调解双方达成一致的，每起扣0.5分；调解未能达成一致的，每起扣1分。</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color w:val="auto"/>
                <w:sz w:val="18"/>
                <w:szCs w:val="18"/>
                <w:highlight w:val="none"/>
                <w:u w:val="none"/>
              </w:rPr>
              <w:t>同一事件多渠道重复投诉只计1件</w:t>
            </w:r>
            <w:r>
              <w:rPr>
                <w:rFonts w:hint="eastAsia" w:ascii="宋体" w:hAnsi="宋体" w:eastAsia="宋体" w:cs="宋体"/>
                <w:i w:val="0"/>
                <w:iCs w:val="0"/>
                <w:color w:val="auto"/>
                <w:sz w:val="18"/>
                <w:szCs w:val="18"/>
                <w:highlight w:val="none"/>
                <w:u w:val="none"/>
                <w:lang w:val="en-US" w:eastAsia="zh-CN"/>
              </w:rPr>
              <w:t>）</w:t>
            </w:r>
          </w:p>
        </w:tc>
      </w:tr>
      <w:tr w14:paraId="1FFC5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0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C7AF8C">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b/>
                <w:bCs/>
                <w:i w:val="0"/>
                <w:iCs w:val="0"/>
                <w:color w:val="auto"/>
                <w:sz w:val="24"/>
                <w:szCs w:val="24"/>
                <w:highlight w:val="none"/>
                <w:u w:val="none"/>
                <w:lang w:val="en-US" w:eastAsia="zh-CN"/>
              </w:rPr>
              <w:t>注：材料计算时间为2025年7月至2026年6月（累计加分项不超过5分，扣分项不超过10分）</w:t>
            </w:r>
          </w:p>
        </w:tc>
      </w:tr>
    </w:tbl>
    <w:p w14:paraId="178E3C46">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p>
    <w:p w14:paraId="4B46346A">
      <w:pPr>
        <w:keepNext w:val="0"/>
        <w:keepLines w:val="0"/>
        <w:widowControl/>
        <w:suppressLineNumbers w:val="0"/>
        <w:jc w:val="both"/>
        <w:textAlignment w:val="center"/>
        <w:rPr>
          <w:rFonts w:hint="eastAsia" w:ascii="宋体" w:hAnsi="宋体" w:eastAsia="宋体" w:cs="宋体"/>
          <w:b w:val="0"/>
          <w:bCs/>
          <w:i w:val="0"/>
          <w:iCs w:val="0"/>
          <w:color w:val="auto"/>
          <w:sz w:val="32"/>
          <w:szCs w:val="32"/>
          <w:highlight w:val="none"/>
          <w:u w:val="none"/>
          <w:shd w:val="clear" w:fill="000000"/>
          <w:lang w:val="en-US" w:eastAsia="zh-CN"/>
        </w:rPr>
      </w:pPr>
      <w:r>
        <w:rPr>
          <w:rFonts w:hint="default" w:ascii="宋体" w:hAnsi="宋体" w:cs="宋体"/>
          <w:b/>
          <w:bCs/>
          <w:i w:val="0"/>
          <w:iCs w:val="0"/>
          <w:color w:val="auto"/>
          <w:sz w:val="18"/>
          <w:szCs w:val="18"/>
          <w:highlight w:val="none"/>
          <w:u w:val="none"/>
          <w:lang w:val="en-US" w:eastAsia="zh-CN"/>
        </w:rPr>
        <w:t>备注：</w:t>
      </w:r>
      <w:r>
        <w:rPr>
          <w:rFonts w:hint="default" w:ascii="宋体" w:hAnsi="宋体" w:eastAsia="宋体" w:cs="宋体"/>
          <w:b/>
          <w:bCs/>
          <w:i w:val="0"/>
          <w:iCs w:val="0"/>
          <w:color w:val="auto"/>
          <w:sz w:val="18"/>
          <w:szCs w:val="18"/>
          <w:highlight w:val="none"/>
          <w:u w:val="none"/>
          <w:lang w:val="en-US" w:eastAsia="zh-CN"/>
        </w:rPr>
        <w:t>评估标准将根据实际情况进行</w:t>
      </w:r>
      <w:r>
        <w:rPr>
          <w:rFonts w:hint="default" w:ascii="宋体" w:hAnsi="宋体" w:cs="宋体"/>
          <w:b/>
          <w:bCs/>
          <w:i w:val="0"/>
          <w:iCs w:val="0"/>
          <w:color w:val="auto"/>
          <w:sz w:val="18"/>
          <w:szCs w:val="18"/>
          <w:highlight w:val="none"/>
          <w:u w:val="none"/>
          <w:lang w:val="en-US" w:eastAsia="zh-CN"/>
        </w:rPr>
        <w:t>调整</w:t>
      </w:r>
      <w:r>
        <w:rPr>
          <w:rFonts w:hint="default" w:ascii="宋体" w:hAnsi="宋体" w:eastAsia="宋体" w:cs="宋体"/>
          <w:b/>
          <w:bCs/>
          <w:i w:val="0"/>
          <w:iCs w:val="0"/>
          <w:color w:val="auto"/>
          <w:sz w:val="18"/>
          <w:szCs w:val="18"/>
          <w:highlight w:val="none"/>
          <w:u w:val="none"/>
          <w:lang w:val="en-US" w:eastAsia="zh-CN"/>
        </w:rPr>
        <w:t>。</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C059">
    <w:panose1 w:val="000005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34699"/>
    <w:multiLevelType w:val="singleLevel"/>
    <w:tmpl w:val="96E34699"/>
    <w:lvl w:ilvl="0" w:tentative="0">
      <w:start w:val="1"/>
      <w:numFmt w:val="decimal"/>
      <w:suff w:val="nothing"/>
      <w:lvlText w:val="（%1）"/>
      <w:lvlJc w:val="left"/>
    </w:lvl>
  </w:abstractNum>
  <w:abstractNum w:abstractNumId="1">
    <w:nsid w:val="9C790C90"/>
    <w:multiLevelType w:val="singleLevel"/>
    <w:tmpl w:val="9C790C90"/>
    <w:lvl w:ilvl="0" w:tentative="0">
      <w:start w:val="1"/>
      <w:numFmt w:val="decimal"/>
      <w:suff w:val="nothing"/>
      <w:lvlText w:val="（%1）"/>
      <w:lvlJc w:val="left"/>
    </w:lvl>
  </w:abstractNum>
  <w:abstractNum w:abstractNumId="2">
    <w:nsid w:val="00000000"/>
    <w:multiLevelType w:val="singleLevel"/>
    <w:tmpl w:val="00000000"/>
    <w:lvl w:ilvl="0" w:tentative="0">
      <w:start w:val="1"/>
      <w:numFmt w:val="decimal"/>
      <w:suff w:val="nothing"/>
      <w:lvlText w:val="%1."/>
      <w:lvlJc w:val="left"/>
      <w:pPr>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0NWZkZjc0ZDZkMGVlYWIzZjExZTY3YTFlMDJlYWMifQ=="/>
  </w:docVars>
  <w:rsids>
    <w:rsidRoot w:val="00000000"/>
    <w:rsid w:val="01050F22"/>
    <w:rsid w:val="011B7C88"/>
    <w:rsid w:val="014F03EF"/>
    <w:rsid w:val="01FE11E8"/>
    <w:rsid w:val="025D6B3C"/>
    <w:rsid w:val="03600692"/>
    <w:rsid w:val="038C04CD"/>
    <w:rsid w:val="049F51EA"/>
    <w:rsid w:val="05B2719F"/>
    <w:rsid w:val="07CD6512"/>
    <w:rsid w:val="085B3309"/>
    <w:rsid w:val="087C2F45"/>
    <w:rsid w:val="0995455E"/>
    <w:rsid w:val="09A56073"/>
    <w:rsid w:val="09BB733E"/>
    <w:rsid w:val="0A286115"/>
    <w:rsid w:val="0ACB126B"/>
    <w:rsid w:val="0B6E638C"/>
    <w:rsid w:val="0B7A1DC0"/>
    <w:rsid w:val="0DCB72BB"/>
    <w:rsid w:val="0E166006"/>
    <w:rsid w:val="0EEF6D6E"/>
    <w:rsid w:val="0FAE7302"/>
    <w:rsid w:val="11674670"/>
    <w:rsid w:val="12394C4B"/>
    <w:rsid w:val="12552003"/>
    <w:rsid w:val="13626D50"/>
    <w:rsid w:val="13AA6821"/>
    <w:rsid w:val="13D82501"/>
    <w:rsid w:val="14C2659D"/>
    <w:rsid w:val="15084D6A"/>
    <w:rsid w:val="158E4B95"/>
    <w:rsid w:val="16F531C5"/>
    <w:rsid w:val="17086941"/>
    <w:rsid w:val="17466067"/>
    <w:rsid w:val="177D4ADC"/>
    <w:rsid w:val="195B1BCF"/>
    <w:rsid w:val="19AD2747"/>
    <w:rsid w:val="19FF69FF"/>
    <w:rsid w:val="1A3E4C8D"/>
    <w:rsid w:val="1AB25025"/>
    <w:rsid w:val="1ABD41C4"/>
    <w:rsid w:val="1B2C52E5"/>
    <w:rsid w:val="1B642C68"/>
    <w:rsid w:val="1B816517"/>
    <w:rsid w:val="1BCC013E"/>
    <w:rsid w:val="1BE47077"/>
    <w:rsid w:val="1D5744D2"/>
    <w:rsid w:val="1D7522E4"/>
    <w:rsid w:val="1E40426D"/>
    <w:rsid w:val="1E7628AC"/>
    <w:rsid w:val="1E97092A"/>
    <w:rsid w:val="20F16975"/>
    <w:rsid w:val="21C422DC"/>
    <w:rsid w:val="22237002"/>
    <w:rsid w:val="222821B8"/>
    <w:rsid w:val="234541F8"/>
    <w:rsid w:val="24510365"/>
    <w:rsid w:val="24E754BB"/>
    <w:rsid w:val="25F82554"/>
    <w:rsid w:val="2633160E"/>
    <w:rsid w:val="26413690"/>
    <w:rsid w:val="29B4221F"/>
    <w:rsid w:val="2AAF3B29"/>
    <w:rsid w:val="2C9C00DD"/>
    <w:rsid w:val="2CD54589"/>
    <w:rsid w:val="2E060FC3"/>
    <w:rsid w:val="2E6E36B7"/>
    <w:rsid w:val="316513E5"/>
    <w:rsid w:val="316A0053"/>
    <w:rsid w:val="320D5ADC"/>
    <w:rsid w:val="322B6916"/>
    <w:rsid w:val="334D1CB6"/>
    <w:rsid w:val="336668C6"/>
    <w:rsid w:val="33C65A3F"/>
    <w:rsid w:val="33E505BB"/>
    <w:rsid w:val="341B3FDD"/>
    <w:rsid w:val="34373801"/>
    <w:rsid w:val="35366BF5"/>
    <w:rsid w:val="35577297"/>
    <w:rsid w:val="35EC7C60"/>
    <w:rsid w:val="3600792F"/>
    <w:rsid w:val="36FA3FF1"/>
    <w:rsid w:val="37436FB8"/>
    <w:rsid w:val="38F90B90"/>
    <w:rsid w:val="399053C2"/>
    <w:rsid w:val="3A2D7EBA"/>
    <w:rsid w:val="3ABB708B"/>
    <w:rsid w:val="3B1BC287"/>
    <w:rsid w:val="3B2711CF"/>
    <w:rsid w:val="3C14060A"/>
    <w:rsid w:val="3C527D6B"/>
    <w:rsid w:val="3C625922"/>
    <w:rsid w:val="3CCA65A0"/>
    <w:rsid w:val="3CE95B58"/>
    <w:rsid w:val="3D8C7B10"/>
    <w:rsid w:val="3DE022E7"/>
    <w:rsid w:val="3DEF2D57"/>
    <w:rsid w:val="3F4C14EF"/>
    <w:rsid w:val="3FBF02B8"/>
    <w:rsid w:val="407C1553"/>
    <w:rsid w:val="40C03382"/>
    <w:rsid w:val="41300182"/>
    <w:rsid w:val="41C66CE8"/>
    <w:rsid w:val="42F223AD"/>
    <w:rsid w:val="446970A0"/>
    <w:rsid w:val="45E33674"/>
    <w:rsid w:val="463D5176"/>
    <w:rsid w:val="467C4DAF"/>
    <w:rsid w:val="47264D1B"/>
    <w:rsid w:val="475C2444"/>
    <w:rsid w:val="47A27E43"/>
    <w:rsid w:val="47CF11DF"/>
    <w:rsid w:val="486331F2"/>
    <w:rsid w:val="49310CFB"/>
    <w:rsid w:val="49F904C5"/>
    <w:rsid w:val="4A0D379A"/>
    <w:rsid w:val="4C523EBC"/>
    <w:rsid w:val="4D61085B"/>
    <w:rsid w:val="4D863B41"/>
    <w:rsid w:val="4EE92924"/>
    <w:rsid w:val="4F814D0C"/>
    <w:rsid w:val="4FD33566"/>
    <w:rsid w:val="508F3931"/>
    <w:rsid w:val="508F6CCF"/>
    <w:rsid w:val="51177EDC"/>
    <w:rsid w:val="51445EA2"/>
    <w:rsid w:val="518E1E3B"/>
    <w:rsid w:val="523B5CEB"/>
    <w:rsid w:val="52F1099D"/>
    <w:rsid w:val="538F59F6"/>
    <w:rsid w:val="53BE6FFD"/>
    <w:rsid w:val="53DA4EC3"/>
    <w:rsid w:val="553032EF"/>
    <w:rsid w:val="57A52C26"/>
    <w:rsid w:val="57E668CB"/>
    <w:rsid w:val="581505F4"/>
    <w:rsid w:val="59345076"/>
    <w:rsid w:val="594246FE"/>
    <w:rsid w:val="5BBF724B"/>
    <w:rsid w:val="5BDFB4F7"/>
    <w:rsid w:val="5D0631CD"/>
    <w:rsid w:val="5ECE3876"/>
    <w:rsid w:val="5F037E6E"/>
    <w:rsid w:val="5FA02694"/>
    <w:rsid w:val="5FA36AB1"/>
    <w:rsid w:val="5FB661A6"/>
    <w:rsid w:val="5FB92062"/>
    <w:rsid w:val="60590284"/>
    <w:rsid w:val="60A56859"/>
    <w:rsid w:val="611B6B1B"/>
    <w:rsid w:val="61C40F61"/>
    <w:rsid w:val="62B62F9F"/>
    <w:rsid w:val="643B27D3"/>
    <w:rsid w:val="646F7778"/>
    <w:rsid w:val="651E680D"/>
    <w:rsid w:val="651F3135"/>
    <w:rsid w:val="66291CDA"/>
    <w:rsid w:val="668B5A4E"/>
    <w:rsid w:val="66B66EE1"/>
    <w:rsid w:val="66D0002C"/>
    <w:rsid w:val="678C5405"/>
    <w:rsid w:val="67DE7369"/>
    <w:rsid w:val="67F60757"/>
    <w:rsid w:val="696403F8"/>
    <w:rsid w:val="69E44896"/>
    <w:rsid w:val="6A9E769A"/>
    <w:rsid w:val="6A9F0B65"/>
    <w:rsid w:val="6AFE2EAA"/>
    <w:rsid w:val="6B9876E6"/>
    <w:rsid w:val="6D3465B5"/>
    <w:rsid w:val="6E344148"/>
    <w:rsid w:val="6E5E3510"/>
    <w:rsid w:val="6F3D5854"/>
    <w:rsid w:val="702C664F"/>
    <w:rsid w:val="70393F8A"/>
    <w:rsid w:val="70ED2FE9"/>
    <w:rsid w:val="712B4B58"/>
    <w:rsid w:val="71687B5B"/>
    <w:rsid w:val="71CB12E6"/>
    <w:rsid w:val="73794C80"/>
    <w:rsid w:val="74074AF3"/>
    <w:rsid w:val="747C14AB"/>
    <w:rsid w:val="75122FD2"/>
    <w:rsid w:val="76DC03D3"/>
    <w:rsid w:val="77B27D81"/>
    <w:rsid w:val="77DE4531"/>
    <w:rsid w:val="787723BE"/>
    <w:rsid w:val="7972CCB7"/>
    <w:rsid w:val="79A33E26"/>
    <w:rsid w:val="79D71062"/>
    <w:rsid w:val="7B6F1081"/>
    <w:rsid w:val="7C547DE6"/>
    <w:rsid w:val="7D2F6410"/>
    <w:rsid w:val="7DE4EBE5"/>
    <w:rsid w:val="7E7F9A41"/>
    <w:rsid w:val="7F201A75"/>
    <w:rsid w:val="7FEC7BA9"/>
    <w:rsid w:val="AFD9128F"/>
    <w:rsid w:val="B4EFC83D"/>
    <w:rsid w:val="BFFFC1CB"/>
    <w:rsid w:val="CFF738B2"/>
    <w:rsid w:val="DFFFF0B2"/>
    <w:rsid w:val="FBFF7059"/>
    <w:rsid w:val="FCEA7310"/>
    <w:rsid w:val="FDDBB306"/>
    <w:rsid w:val="FFD21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5">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Table Text"/>
    <w:basedOn w:val="1"/>
    <w:qFormat/>
    <w:uiPriority w:val="0"/>
    <w:rPr>
      <w:rFonts w:ascii="宋体" w:hAnsi="宋体" w:eastAsia="宋体" w:cs="宋体"/>
      <w:sz w:val="19"/>
      <w:szCs w:val="19"/>
      <w:lang w:val="en-US" w:eastAsia="en-US" w:bidi="ar-SA"/>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1326</Words>
  <Characters>1366</Characters>
  <Paragraphs>571</Paragraphs>
  <TotalTime>2</TotalTime>
  <ScaleCrop>false</ScaleCrop>
  <LinksUpToDate>false</LinksUpToDate>
  <CharactersWithSpaces>1366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2024-05-31T23:28:00Z</dcterms:created>
  <dc:creator>fd</dc:creator>
  <cp:lastModifiedBy>黄冠</cp:lastModifiedBy>
  <cp:lastPrinted>2025-07-02T09:25:00Z</cp:lastPrinted>
  <dcterms:modified xsi:type="dcterms:W3CDTF">2026-09-18T15:21:06Z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0F06464F33ABEA7AFAB4A36A4896BAE7</vt:lpwstr>
  </property>
  <property fmtid="{D5CDD505-2E9C-101B-9397-08002B2CF9AE}" pid="4" name="KSOTemplateDocerSaveRecord">
    <vt:lpwstr>eyJoZGlkIjoiMzJjOGNmZDFlN2M0MTYzZjY3MjI1MDhmNDNlNDFmNWYiLCJ1c2VySWQiOiI0NTMwMTM2MTAifQ==</vt:lpwstr>
  </property>
</Properties>
</file>