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3203B6">
      <w:pPr>
        <w:pStyle w:val="7"/>
        <w:keepNext w:val="0"/>
        <w:keepLines w:val="0"/>
        <w:pageBreakBefore w:val="0"/>
        <w:widowControl w:val="0"/>
        <w:kinsoku/>
        <w:wordWrap/>
        <w:overflowPunct/>
        <w:topLinePunct w:val="0"/>
        <w:autoSpaceDE w:val="0"/>
        <w:autoSpaceDN w:val="0"/>
        <w:bidi w:val="0"/>
        <w:adjustRightInd/>
        <w:snapToGrid/>
        <w:spacing w:before="0" w:line="579" w:lineRule="exact"/>
        <w:ind w:left="0" w:right="0"/>
        <w:jc w:val="left"/>
        <w:textAlignment w:val="auto"/>
        <w:outlineLvl w:val="0"/>
        <w:rPr>
          <w:rFonts w:hint="eastAsia" w:ascii="仿宋_GB2312" w:hAnsi="仿宋_GB2312" w:eastAsia="仿宋_GB2312" w:cs="仿宋_GB2312"/>
          <w:color w:val="auto"/>
          <w:spacing w:val="4"/>
          <w:w w:val="100"/>
          <w:sz w:val="32"/>
          <w:szCs w:val="32"/>
          <w:highlight w:val="none"/>
          <w:lang w:val="en-US" w:eastAsia="zh-CN" w:bidi="ar-SA"/>
        </w:rPr>
      </w:pPr>
      <w:r>
        <w:rPr>
          <w:rFonts w:hint="eastAsia" w:ascii="仿宋_GB2312" w:hAnsi="仿宋_GB2312" w:eastAsia="仿宋_GB2312" w:cs="仿宋_GB2312"/>
          <w:color w:val="auto"/>
          <w:spacing w:val="4"/>
          <w:w w:val="100"/>
          <w:sz w:val="32"/>
          <w:szCs w:val="32"/>
          <w:highlight w:val="none"/>
          <w:lang w:val="en-US" w:eastAsia="zh-CN" w:bidi="ar-SA"/>
        </w:rPr>
        <w:t>附件1</w:t>
      </w:r>
    </w:p>
    <w:p w14:paraId="009DBF31">
      <w:pPr>
        <w:pStyle w:val="7"/>
        <w:keepNext w:val="0"/>
        <w:keepLines w:val="0"/>
        <w:pageBreakBefore w:val="0"/>
        <w:widowControl w:val="0"/>
        <w:kinsoku/>
        <w:wordWrap/>
        <w:overflowPunct/>
        <w:topLinePunct w:val="0"/>
        <w:autoSpaceDE w:val="0"/>
        <w:autoSpaceDN w:val="0"/>
        <w:bidi w:val="0"/>
        <w:adjustRightInd/>
        <w:snapToGrid/>
        <w:spacing w:before="0" w:line="579" w:lineRule="exact"/>
        <w:ind w:left="0" w:right="0"/>
        <w:jc w:val="left"/>
        <w:textAlignment w:val="auto"/>
        <w:outlineLvl w:val="0"/>
        <w:rPr>
          <w:rFonts w:hint="default" w:ascii="仿宋_GB2312" w:hAnsi="仿宋_GB2312" w:eastAsia="仿宋_GB2312" w:cs="仿宋_GB2312"/>
          <w:color w:val="auto"/>
          <w:spacing w:val="4"/>
          <w:w w:val="100"/>
          <w:sz w:val="32"/>
          <w:szCs w:val="32"/>
          <w:highlight w:val="none"/>
          <w:lang w:val="en-US" w:eastAsia="zh-CN" w:bidi="ar-SA"/>
        </w:rPr>
      </w:pPr>
      <w:bookmarkStart w:id="1" w:name="_GoBack"/>
      <w:bookmarkEnd w:id="1"/>
    </w:p>
    <w:p w14:paraId="1C020D17">
      <w:pPr>
        <w:jc w:val="center"/>
        <w:rPr>
          <w:rFonts w:hint="default" w:ascii="方正小标宋_GBK" w:hAnsi="方正小标宋_GBK" w:eastAsia="方正小标宋_GBK" w:cs="方正小标宋_GBK"/>
          <w:w w:val="100"/>
          <w:sz w:val="44"/>
          <w:szCs w:val="44"/>
          <w:lang w:val="en-US" w:eastAsia="zh-CN"/>
        </w:rPr>
      </w:pPr>
      <w:r>
        <w:rPr>
          <w:rFonts w:hint="default" w:ascii="方正小标宋_GBK" w:hAnsi="方正小标宋_GBK" w:eastAsia="方正小标宋_GBK" w:cs="方正小标宋_GBK"/>
          <w:w w:val="100"/>
          <w:sz w:val="44"/>
          <w:szCs w:val="44"/>
          <w:lang w:eastAsia="zh-CN"/>
        </w:rPr>
        <w:t>福田区公共数据</w:t>
      </w:r>
      <w:r>
        <w:rPr>
          <w:rFonts w:hint="default" w:ascii="方正小标宋_GBK" w:hAnsi="方正小标宋_GBK" w:eastAsia="方正小标宋_GBK" w:cs="方正小标宋_GBK"/>
          <w:w w:val="100"/>
          <w:sz w:val="44"/>
          <w:szCs w:val="44"/>
          <w:lang w:val="en-US" w:eastAsia="zh-CN"/>
        </w:rPr>
        <w:t>资源</w:t>
      </w:r>
      <w:r>
        <w:rPr>
          <w:rFonts w:hint="default" w:ascii="方正小标宋_GBK" w:hAnsi="方正小标宋_GBK" w:eastAsia="方正小标宋_GBK" w:cs="方正小标宋_GBK"/>
          <w:w w:val="100"/>
          <w:sz w:val="44"/>
          <w:szCs w:val="44"/>
          <w:lang w:eastAsia="zh-CN"/>
        </w:rPr>
        <w:t>授权运营</w:t>
      </w:r>
      <w:r>
        <w:rPr>
          <w:rFonts w:hint="default" w:ascii="方正小标宋_GBK" w:hAnsi="方正小标宋_GBK" w:eastAsia="方正小标宋_GBK" w:cs="方正小标宋_GBK"/>
          <w:w w:val="100"/>
          <w:sz w:val="44"/>
          <w:szCs w:val="44"/>
          <w:lang w:val="en-US" w:eastAsia="zh-CN"/>
        </w:rPr>
        <w:t>管理办法</w:t>
      </w:r>
    </w:p>
    <w:p w14:paraId="4CFD913B">
      <w:pPr>
        <w:pStyle w:val="7"/>
        <w:keepNext w:val="0"/>
        <w:keepLines w:val="0"/>
        <w:pageBreakBefore w:val="0"/>
        <w:widowControl w:val="0"/>
        <w:kinsoku/>
        <w:wordWrap/>
        <w:overflowPunct/>
        <w:topLinePunct w:val="0"/>
        <w:autoSpaceDE w:val="0"/>
        <w:autoSpaceDN w:val="0"/>
        <w:bidi w:val="0"/>
        <w:adjustRightInd/>
        <w:snapToGrid/>
        <w:spacing w:before="0" w:line="579" w:lineRule="exact"/>
        <w:ind w:left="0" w:right="0"/>
        <w:jc w:val="center"/>
        <w:textAlignment w:val="auto"/>
        <w:outlineLvl w:val="0"/>
        <w:rPr>
          <w:rFonts w:hint="eastAsia" w:ascii="楷体_GB2312" w:hAnsi="楷体_GB2312" w:eastAsia="楷体_GB2312" w:cs="楷体_GB2312"/>
          <w:w w:val="100"/>
          <w:sz w:val="32"/>
          <w:szCs w:val="32"/>
          <w:highlight w:val="none"/>
          <w:lang w:val="en-US" w:eastAsia="zh-CN"/>
        </w:rPr>
      </w:pPr>
      <w:r>
        <w:rPr>
          <w:rFonts w:hint="eastAsia" w:ascii="楷体_GB2312" w:hAnsi="楷体_GB2312" w:eastAsia="楷体_GB2312" w:cs="楷体_GB2312"/>
          <w:w w:val="100"/>
          <w:sz w:val="32"/>
          <w:szCs w:val="32"/>
          <w:highlight w:val="none"/>
          <w:lang w:val="en-US" w:eastAsia="zh-CN"/>
        </w:rPr>
        <w:t>（征求意见稿）</w:t>
      </w:r>
    </w:p>
    <w:p w14:paraId="04C8DA90">
      <w:pPr>
        <w:pStyle w:val="7"/>
        <w:keepNext w:val="0"/>
        <w:keepLines w:val="0"/>
        <w:pageBreakBefore w:val="0"/>
        <w:widowControl w:val="0"/>
        <w:kinsoku/>
        <w:wordWrap/>
        <w:overflowPunct/>
        <w:topLinePunct w:val="0"/>
        <w:autoSpaceDE w:val="0"/>
        <w:autoSpaceDN w:val="0"/>
        <w:bidi w:val="0"/>
        <w:adjustRightInd/>
        <w:snapToGrid/>
        <w:spacing w:before="0" w:line="579" w:lineRule="exact"/>
        <w:ind w:left="0" w:right="0"/>
        <w:jc w:val="both"/>
        <w:textAlignment w:val="auto"/>
        <w:outlineLvl w:val="0"/>
        <w:rPr>
          <w:rFonts w:hint="eastAsia" w:ascii="方正公文小标宋" w:hAnsi="方正公文小标宋" w:eastAsia="方正公文小标宋" w:cs="方正公文小标宋"/>
          <w:w w:val="100"/>
          <w:highlight w:val="none"/>
          <w:lang w:val="en-US" w:eastAsia="zh-CN"/>
        </w:rPr>
      </w:pPr>
    </w:p>
    <w:p w14:paraId="255E59BD">
      <w:pPr>
        <w:pStyle w:val="4"/>
        <w:keepNext w:val="0"/>
        <w:keepLines w:val="0"/>
        <w:pageBreakBefore w:val="0"/>
        <w:widowControl w:val="0"/>
        <w:numPr>
          <w:ilvl w:val="0"/>
          <w:numId w:val="1"/>
        </w:numPr>
        <w:kinsoku/>
        <w:wordWrap/>
        <w:overflowPunct/>
        <w:topLinePunct w:val="0"/>
        <w:autoSpaceDE w:val="0"/>
        <w:autoSpaceDN w:val="0"/>
        <w:bidi w:val="0"/>
        <w:adjustRightInd/>
        <w:snapToGrid/>
        <w:spacing w:after="300" w:afterLines="100" w:line="579" w:lineRule="exact"/>
        <w:ind w:left="0"/>
        <w:jc w:val="center"/>
        <w:textAlignment w:val="auto"/>
        <w:outlineLvl w:val="0"/>
        <w:rPr>
          <w:rFonts w:hint="eastAsia" w:ascii="黑体" w:hAnsi="黑体" w:eastAsia="黑体" w:cs="黑体"/>
          <w:spacing w:val="-17"/>
          <w:w w:val="100"/>
          <w:highlight w:val="none"/>
        </w:rPr>
      </w:pPr>
      <w:r>
        <w:rPr>
          <w:rFonts w:hint="eastAsia" w:ascii="黑体" w:hAnsi="黑体" w:eastAsia="黑体" w:cs="黑体"/>
          <w:w w:val="100"/>
          <w:highlight w:val="none"/>
        </w:rPr>
        <w:t>总</w:t>
      </w:r>
      <w:r>
        <w:rPr>
          <w:rFonts w:hint="eastAsia" w:ascii="黑体" w:hAnsi="黑体" w:eastAsia="黑体" w:cs="黑体"/>
          <w:spacing w:val="-17"/>
          <w:w w:val="100"/>
          <w:highlight w:val="none"/>
        </w:rPr>
        <w:t>则</w:t>
      </w:r>
    </w:p>
    <w:p w14:paraId="1C681596">
      <w:pPr>
        <w:pStyle w:val="4"/>
        <w:keepNext w:val="0"/>
        <w:keepLines w:val="0"/>
        <w:pageBreakBefore w:val="0"/>
        <w:widowControl w:val="0"/>
        <w:numPr>
          <w:ilvl w:val="0"/>
          <w:numId w:val="2"/>
        </w:numPr>
        <w:tabs>
          <w:tab w:val="left" w:pos="4810"/>
          <w:tab w:val="clear" w:pos="0"/>
        </w:tabs>
        <w:kinsoku/>
        <w:wordWrap/>
        <w:overflowPunct/>
        <w:topLinePunct w:val="0"/>
        <w:autoSpaceDE w:val="0"/>
        <w:autoSpaceDN w:val="0"/>
        <w:bidi w:val="0"/>
        <w:adjustRightInd/>
        <w:snapToGrid/>
        <w:spacing w:line="579" w:lineRule="exact"/>
        <w:ind w:firstLine="656" w:firstLineChars="200"/>
        <w:jc w:val="both"/>
        <w:textAlignment w:val="auto"/>
        <w:outlineLvl w:val="0"/>
        <w:rPr>
          <w:rFonts w:hint="eastAsia"/>
          <w:color w:val="auto"/>
          <w:spacing w:val="4"/>
          <w:w w:val="100"/>
          <w:highlight w:val="none"/>
          <w:lang w:eastAsia="zh-CN"/>
        </w:rPr>
      </w:pPr>
      <w:r>
        <w:rPr>
          <w:rFonts w:hint="eastAsia"/>
          <w:color w:val="auto"/>
          <w:spacing w:val="4"/>
          <w:w w:val="100"/>
          <w:highlight w:val="none"/>
          <w:lang w:eastAsia="zh-CN"/>
        </w:rPr>
        <w:t>为推进公共数据资源开发利用，规范福田区公共数据资源授权运营，根据《中华人民共和国网络安全法》《中华人民共和国数据安全法》《中华人民共和国个人信息保护法》等法律法规，按照</w:t>
      </w:r>
      <w:r>
        <w:rPr>
          <w:rFonts w:hint="eastAsia" w:ascii="仿宋_GB2312" w:hAnsi="仿宋_GB2312" w:eastAsia="仿宋_GB2312"/>
          <w:b w:val="0"/>
          <w:color w:val="auto"/>
          <w:sz w:val="32"/>
        </w:rPr>
        <w:t>《中共中央</w:t>
      </w:r>
      <w:r>
        <w:rPr>
          <w:rFonts w:hint="eastAsia"/>
          <w:b w:val="0"/>
          <w:color w:val="auto"/>
          <w:sz w:val="32"/>
          <w:lang w:eastAsia="zh-CN"/>
        </w:rPr>
        <w:t xml:space="preserve"> </w:t>
      </w:r>
      <w:r>
        <w:rPr>
          <w:rFonts w:hint="eastAsia" w:ascii="仿宋_GB2312" w:hAnsi="仿宋_GB2312" w:eastAsia="仿宋_GB2312"/>
          <w:b w:val="0"/>
          <w:color w:val="auto"/>
          <w:sz w:val="32"/>
        </w:rPr>
        <w:t>国务院关于构建数据基础制度更好发挥数据要素作用的意见》</w:t>
      </w:r>
      <w:r>
        <w:rPr>
          <w:rFonts w:hint="eastAsia"/>
          <w:color w:val="auto"/>
          <w:spacing w:val="4"/>
          <w:w w:val="100"/>
          <w:highlight w:val="none"/>
          <w:lang w:eastAsia="zh-CN"/>
        </w:rPr>
        <w:t>《国务院关于深入实施“人工智能+”行动的意见》《公共数据资源授权运营实施规范（试行）》（以下简称《规范》）《广东省公共数据资源授权运营管理办法》等要求</w:t>
      </w:r>
      <w:r>
        <w:rPr>
          <w:rFonts w:hint="eastAsia" w:ascii="仿宋_GB2312" w:hAnsi="仿宋_GB2312" w:eastAsia="仿宋_GB2312"/>
          <w:b w:val="0"/>
          <w:color w:val="auto"/>
          <w:sz w:val="32"/>
          <w:lang w:val="en-US" w:eastAsia="zh-CN"/>
        </w:rPr>
        <w:t>，</w:t>
      </w:r>
      <w:r>
        <w:rPr>
          <w:color w:val="auto"/>
          <w:spacing w:val="4"/>
          <w:w w:val="100"/>
          <w:highlight w:val="none"/>
          <w:lang w:eastAsia="zh-CN"/>
        </w:rPr>
        <w:t>结合</w:t>
      </w:r>
      <w:r>
        <w:rPr>
          <w:rFonts w:hint="eastAsia"/>
          <w:color w:val="auto"/>
          <w:spacing w:val="4"/>
          <w:w w:val="100"/>
          <w:highlight w:val="none"/>
          <w:lang w:val="en-US" w:eastAsia="zh-CN"/>
        </w:rPr>
        <w:t>福田</w:t>
      </w:r>
      <w:r>
        <w:rPr>
          <w:color w:val="auto"/>
          <w:spacing w:val="4"/>
          <w:w w:val="100"/>
          <w:highlight w:val="none"/>
          <w:lang w:eastAsia="zh-CN"/>
        </w:rPr>
        <w:t>实际，制定本</w:t>
      </w:r>
      <w:r>
        <w:rPr>
          <w:rFonts w:hint="eastAsia"/>
          <w:color w:val="auto"/>
          <w:spacing w:val="4"/>
          <w:w w:val="100"/>
          <w:highlight w:val="none"/>
          <w:lang w:val="en-US" w:eastAsia="zh-CN"/>
        </w:rPr>
        <w:t>办法</w:t>
      </w:r>
      <w:r>
        <w:rPr>
          <w:color w:val="auto"/>
          <w:spacing w:val="4"/>
          <w:w w:val="100"/>
          <w:highlight w:val="none"/>
          <w:lang w:eastAsia="zh-CN"/>
        </w:rPr>
        <w:t>。</w:t>
      </w:r>
    </w:p>
    <w:p w14:paraId="347FE1F5">
      <w:pPr>
        <w:pStyle w:val="4"/>
        <w:keepNext w:val="0"/>
        <w:keepLines w:val="0"/>
        <w:pageBreakBefore w:val="0"/>
        <w:widowControl w:val="0"/>
        <w:numPr>
          <w:ilvl w:val="0"/>
          <w:numId w:val="2"/>
        </w:numPr>
        <w:tabs>
          <w:tab w:val="left" w:pos="4810"/>
          <w:tab w:val="clear" w:pos="0"/>
        </w:tabs>
        <w:kinsoku/>
        <w:wordWrap/>
        <w:overflowPunct/>
        <w:topLinePunct w:val="0"/>
        <w:autoSpaceDE w:val="0"/>
        <w:autoSpaceDN w:val="0"/>
        <w:bidi w:val="0"/>
        <w:adjustRightInd/>
        <w:snapToGrid/>
        <w:spacing w:line="579" w:lineRule="exact"/>
        <w:ind w:firstLine="656" w:firstLineChars="200"/>
        <w:jc w:val="both"/>
        <w:textAlignment w:val="auto"/>
        <w:outlineLvl w:val="0"/>
        <w:rPr>
          <w:rFonts w:hint="eastAsia"/>
          <w:spacing w:val="4"/>
          <w:w w:val="100"/>
          <w:highlight w:val="none"/>
          <w:lang w:eastAsia="zh-CN"/>
        </w:rPr>
      </w:pPr>
      <w:r>
        <w:rPr>
          <w:rFonts w:hint="eastAsia"/>
          <w:spacing w:val="4"/>
          <w:w w:val="100"/>
          <w:highlight w:val="none"/>
          <w:lang w:eastAsia="zh-CN"/>
        </w:rPr>
        <w:t>本</w:t>
      </w:r>
      <w:r>
        <w:rPr>
          <w:rFonts w:hint="eastAsia"/>
          <w:spacing w:val="4"/>
          <w:w w:val="100"/>
          <w:highlight w:val="none"/>
          <w:lang w:val="en-US" w:eastAsia="zh-CN"/>
        </w:rPr>
        <w:t>区</w:t>
      </w:r>
      <w:r>
        <w:rPr>
          <w:rFonts w:hint="eastAsia"/>
          <w:spacing w:val="4"/>
          <w:w w:val="100"/>
          <w:highlight w:val="none"/>
          <w:lang w:eastAsia="zh-CN"/>
        </w:rPr>
        <w:t>行政区域内开展公共数据资源授权运营及其相关管理活动，适用本办法。</w:t>
      </w:r>
    </w:p>
    <w:p w14:paraId="053042E3">
      <w:pPr>
        <w:pStyle w:val="4"/>
        <w:keepNext w:val="0"/>
        <w:keepLines w:val="0"/>
        <w:pageBreakBefore w:val="0"/>
        <w:widowControl w:val="0"/>
        <w:numPr>
          <w:ilvl w:val="0"/>
          <w:numId w:val="2"/>
        </w:numPr>
        <w:tabs>
          <w:tab w:val="left" w:pos="4810"/>
          <w:tab w:val="clear" w:pos="0"/>
        </w:tabs>
        <w:kinsoku/>
        <w:wordWrap/>
        <w:overflowPunct/>
        <w:topLinePunct w:val="0"/>
        <w:autoSpaceDE w:val="0"/>
        <w:autoSpaceDN w:val="0"/>
        <w:bidi w:val="0"/>
        <w:adjustRightInd/>
        <w:snapToGrid/>
        <w:spacing w:line="579" w:lineRule="exact"/>
        <w:ind w:firstLine="656" w:firstLineChars="200"/>
        <w:jc w:val="both"/>
        <w:textAlignment w:val="auto"/>
        <w:outlineLvl w:val="0"/>
        <w:rPr>
          <w:rFonts w:hint="eastAsia"/>
          <w:spacing w:val="4"/>
          <w:w w:val="100"/>
          <w:highlight w:val="none"/>
          <w:lang w:eastAsia="zh-CN"/>
        </w:rPr>
      </w:pPr>
      <w:r>
        <w:rPr>
          <w:rFonts w:hint="eastAsia"/>
          <w:spacing w:val="4"/>
          <w:w w:val="100"/>
          <w:highlight w:val="none"/>
          <w:lang w:eastAsia="zh-CN"/>
        </w:rPr>
        <w:t>公共数据资源授权运营坚持发展与安全并重，遵循依法合规、公平公正、公益优先、合理收益、安全可控的原则，依法保障授权运营各参与方的合法权益，维护国家安全和公共利益，保护个人信息和商业秘密。</w:t>
      </w:r>
    </w:p>
    <w:p w14:paraId="6DF73D2C">
      <w:pPr>
        <w:pStyle w:val="4"/>
        <w:keepNext w:val="0"/>
        <w:keepLines w:val="0"/>
        <w:pageBreakBefore w:val="0"/>
        <w:widowControl w:val="0"/>
        <w:numPr>
          <w:ilvl w:val="0"/>
          <w:numId w:val="2"/>
        </w:numPr>
        <w:tabs>
          <w:tab w:val="left" w:pos="4810"/>
          <w:tab w:val="clear" w:pos="0"/>
        </w:tabs>
        <w:kinsoku/>
        <w:wordWrap/>
        <w:overflowPunct/>
        <w:topLinePunct w:val="0"/>
        <w:autoSpaceDE w:val="0"/>
        <w:autoSpaceDN w:val="0"/>
        <w:bidi w:val="0"/>
        <w:adjustRightInd/>
        <w:snapToGrid/>
        <w:spacing w:line="579" w:lineRule="exact"/>
        <w:ind w:firstLine="656" w:firstLineChars="200"/>
        <w:jc w:val="both"/>
        <w:textAlignment w:val="auto"/>
        <w:outlineLvl w:val="0"/>
        <w:rPr>
          <w:rFonts w:hint="eastAsia"/>
          <w:spacing w:val="4"/>
          <w:w w:val="100"/>
          <w:highlight w:val="none"/>
          <w:lang w:eastAsia="zh-CN"/>
        </w:rPr>
      </w:pPr>
      <w:r>
        <w:rPr>
          <w:rFonts w:hint="eastAsia"/>
          <w:spacing w:val="4"/>
          <w:w w:val="100"/>
          <w:highlight w:val="none"/>
          <w:lang w:val="en-US" w:eastAsia="zh-CN"/>
        </w:rPr>
        <w:t>公共数据资源</w:t>
      </w:r>
      <w:r>
        <w:rPr>
          <w:rFonts w:hint="eastAsia"/>
          <w:spacing w:val="4"/>
          <w:w w:val="100"/>
          <w:highlight w:val="none"/>
          <w:lang w:eastAsia="zh-CN"/>
        </w:rPr>
        <w:t>授权运营，是指将区政府持有的公共数据资源，按照法律法规和相关要求，授权符合条件的运营机构进行治理、开发，并面向市场公平提供数据产品和技术服务的活动。</w:t>
      </w:r>
    </w:p>
    <w:p w14:paraId="131FD5CC">
      <w:pPr>
        <w:pStyle w:val="4"/>
        <w:keepNext w:val="0"/>
        <w:keepLines w:val="0"/>
        <w:pageBreakBefore w:val="0"/>
        <w:widowControl w:val="0"/>
        <w:kinsoku/>
        <w:wordWrap/>
        <w:overflowPunct/>
        <w:topLinePunct w:val="0"/>
        <w:autoSpaceDE w:val="0"/>
        <w:autoSpaceDN w:val="0"/>
        <w:bidi w:val="0"/>
        <w:adjustRightInd/>
        <w:snapToGrid/>
        <w:spacing w:line="579" w:lineRule="exact"/>
        <w:ind w:left="0" w:firstLine="656" w:firstLineChars="200"/>
        <w:jc w:val="both"/>
        <w:textAlignment w:val="auto"/>
        <w:rPr>
          <w:rFonts w:hint="eastAsia"/>
          <w:spacing w:val="4"/>
          <w:w w:val="100"/>
          <w:highlight w:val="none"/>
          <w:lang w:eastAsia="zh-CN"/>
        </w:rPr>
      </w:pPr>
      <w:r>
        <w:rPr>
          <w:rFonts w:hint="eastAsia"/>
          <w:spacing w:val="4"/>
          <w:w w:val="100"/>
          <w:highlight w:val="none"/>
          <w:lang w:eastAsia="zh-CN"/>
        </w:rPr>
        <w:t>实施机构，是指由区政府确定的、具体负责组织开展授权运营活动的单位。</w:t>
      </w:r>
    </w:p>
    <w:p w14:paraId="0BBE1F28">
      <w:pPr>
        <w:pStyle w:val="4"/>
        <w:keepNext w:val="0"/>
        <w:keepLines w:val="0"/>
        <w:pageBreakBefore w:val="0"/>
        <w:widowControl w:val="0"/>
        <w:kinsoku/>
        <w:wordWrap/>
        <w:overflowPunct/>
        <w:topLinePunct w:val="0"/>
        <w:autoSpaceDE w:val="0"/>
        <w:autoSpaceDN w:val="0"/>
        <w:bidi w:val="0"/>
        <w:adjustRightInd/>
        <w:snapToGrid/>
        <w:spacing w:line="579" w:lineRule="exact"/>
        <w:ind w:left="0" w:firstLine="656" w:firstLineChars="200"/>
        <w:jc w:val="both"/>
        <w:textAlignment w:val="auto"/>
        <w:rPr>
          <w:rFonts w:hint="eastAsia"/>
          <w:spacing w:val="4"/>
          <w:w w:val="100"/>
          <w:highlight w:val="none"/>
          <w:lang w:eastAsia="zh-CN"/>
        </w:rPr>
      </w:pPr>
      <w:r>
        <w:rPr>
          <w:rFonts w:hint="eastAsia"/>
          <w:spacing w:val="4"/>
          <w:w w:val="100"/>
          <w:highlight w:val="none"/>
          <w:lang w:eastAsia="zh-CN"/>
        </w:rPr>
        <w:t>运营机构，是指按照规范程序获得授权，对授权范围内的公共数据资源进行开发运营的法人组织。</w:t>
      </w:r>
    </w:p>
    <w:p w14:paraId="41EC04F7">
      <w:pPr>
        <w:pStyle w:val="4"/>
        <w:keepNext w:val="0"/>
        <w:keepLines w:val="0"/>
        <w:pageBreakBefore w:val="0"/>
        <w:widowControl w:val="0"/>
        <w:kinsoku/>
        <w:wordWrap/>
        <w:overflowPunct/>
        <w:topLinePunct w:val="0"/>
        <w:autoSpaceDE w:val="0"/>
        <w:autoSpaceDN w:val="0"/>
        <w:bidi w:val="0"/>
        <w:adjustRightInd/>
        <w:snapToGrid/>
        <w:spacing w:line="579" w:lineRule="exact"/>
        <w:ind w:left="0" w:firstLine="656" w:firstLineChars="200"/>
        <w:jc w:val="both"/>
        <w:textAlignment w:val="auto"/>
        <w:rPr>
          <w:rFonts w:hint="eastAsia"/>
          <w:spacing w:val="4"/>
          <w:w w:val="100"/>
          <w:highlight w:val="none"/>
          <w:lang w:eastAsia="zh-CN"/>
        </w:rPr>
      </w:pPr>
      <w:r>
        <w:rPr>
          <w:rFonts w:hint="eastAsia"/>
          <w:spacing w:val="4"/>
          <w:w w:val="100"/>
          <w:highlight w:val="none"/>
          <w:lang w:eastAsia="zh-CN"/>
        </w:rPr>
        <w:t>公共数据</w:t>
      </w:r>
      <w:r>
        <w:rPr>
          <w:rFonts w:hint="eastAsia"/>
          <w:spacing w:val="4"/>
          <w:w w:val="100"/>
          <w:highlight w:val="none"/>
          <w:lang w:val="en-US" w:eastAsia="zh-CN"/>
        </w:rPr>
        <w:t>资源</w:t>
      </w:r>
      <w:r>
        <w:rPr>
          <w:rFonts w:hint="eastAsia"/>
          <w:spacing w:val="4"/>
          <w:w w:val="100"/>
          <w:highlight w:val="none"/>
          <w:lang w:eastAsia="zh-CN"/>
        </w:rPr>
        <w:t>授权运营平台合作方，是指依托公共数据</w:t>
      </w:r>
      <w:r>
        <w:rPr>
          <w:rFonts w:hint="eastAsia"/>
          <w:spacing w:val="4"/>
          <w:w w:val="100"/>
          <w:highlight w:val="none"/>
          <w:lang w:val="en-US" w:eastAsia="zh-CN"/>
        </w:rPr>
        <w:t>资源</w:t>
      </w:r>
      <w:r>
        <w:rPr>
          <w:rFonts w:hint="eastAsia"/>
          <w:spacing w:val="4"/>
          <w:w w:val="100"/>
          <w:highlight w:val="none"/>
          <w:lang w:eastAsia="zh-CN"/>
        </w:rPr>
        <w:t>授权运营平台</w:t>
      </w:r>
      <w:r>
        <w:rPr>
          <w:rFonts w:hint="eastAsia"/>
          <w:spacing w:val="4"/>
          <w:w w:val="100"/>
          <w:highlight w:val="none"/>
          <w:lang w:val="en-US" w:eastAsia="zh-CN"/>
        </w:rPr>
        <w:t>体系</w:t>
      </w:r>
      <w:r>
        <w:rPr>
          <w:rFonts w:hint="eastAsia"/>
          <w:spacing w:val="4"/>
          <w:w w:val="100"/>
          <w:highlight w:val="none"/>
          <w:lang w:eastAsia="zh-CN"/>
        </w:rPr>
        <w:t>开展数据产品</w:t>
      </w:r>
      <w:r>
        <w:rPr>
          <w:rFonts w:hint="eastAsia"/>
          <w:spacing w:val="4"/>
          <w:w w:val="100"/>
          <w:highlight w:val="none"/>
          <w:lang w:val="en-US" w:eastAsia="zh-CN"/>
        </w:rPr>
        <w:t>和服务</w:t>
      </w:r>
      <w:r>
        <w:rPr>
          <w:rFonts w:hint="eastAsia"/>
          <w:spacing w:val="4"/>
          <w:w w:val="100"/>
          <w:highlight w:val="none"/>
          <w:lang w:eastAsia="zh-CN"/>
        </w:rPr>
        <w:t>开发等活动的法人或非法人组织（以下简称“平台合作方”）。</w:t>
      </w:r>
    </w:p>
    <w:p w14:paraId="1DA5445B">
      <w:pPr>
        <w:pStyle w:val="4"/>
        <w:keepNext w:val="0"/>
        <w:keepLines w:val="0"/>
        <w:pageBreakBefore w:val="0"/>
        <w:widowControl w:val="0"/>
        <w:numPr>
          <w:ilvl w:val="0"/>
          <w:numId w:val="2"/>
        </w:numPr>
        <w:tabs>
          <w:tab w:val="left" w:pos="4810"/>
          <w:tab w:val="clear" w:pos="0"/>
        </w:tabs>
        <w:kinsoku/>
        <w:wordWrap/>
        <w:overflowPunct/>
        <w:topLinePunct w:val="0"/>
        <w:autoSpaceDE w:val="0"/>
        <w:autoSpaceDN w:val="0"/>
        <w:bidi w:val="0"/>
        <w:adjustRightInd/>
        <w:snapToGrid/>
        <w:spacing w:line="579" w:lineRule="exact"/>
        <w:ind w:firstLine="656" w:firstLineChars="200"/>
        <w:jc w:val="both"/>
        <w:textAlignment w:val="auto"/>
        <w:outlineLvl w:val="0"/>
        <w:rPr>
          <w:rFonts w:hint="eastAsia"/>
          <w:spacing w:val="4"/>
          <w:w w:val="100"/>
          <w:highlight w:val="none"/>
          <w:lang w:eastAsia="zh-CN"/>
        </w:rPr>
      </w:pPr>
      <w:r>
        <w:rPr>
          <w:rFonts w:hint="eastAsia"/>
          <w:spacing w:val="4"/>
          <w:w w:val="100"/>
          <w:highlight w:val="none"/>
          <w:lang w:val="en-US" w:eastAsia="zh-CN"/>
        </w:rPr>
        <w:t>区</w:t>
      </w:r>
      <w:r>
        <w:rPr>
          <w:rFonts w:hint="eastAsia"/>
          <w:spacing w:val="4"/>
          <w:w w:val="100"/>
          <w:highlight w:val="none"/>
          <w:lang w:eastAsia="zh-CN"/>
        </w:rPr>
        <w:t>政府加强对全</w:t>
      </w:r>
      <w:r>
        <w:rPr>
          <w:rFonts w:hint="eastAsia"/>
          <w:spacing w:val="4"/>
          <w:w w:val="100"/>
          <w:highlight w:val="none"/>
          <w:lang w:val="en-US" w:eastAsia="zh-CN"/>
        </w:rPr>
        <w:t>区</w:t>
      </w:r>
      <w:r>
        <w:rPr>
          <w:rFonts w:hint="eastAsia"/>
          <w:spacing w:val="4"/>
          <w:w w:val="100"/>
          <w:highlight w:val="none"/>
          <w:lang w:eastAsia="zh-CN"/>
        </w:rPr>
        <w:t>公共数据资源授权运营工作的统筹领导，依托福田区推进政府职能转变和数字政府建设领导小组加强工作统筹协调，研究解决授权运营工作中的重大问题。</w:t>
      </w:r>
    </w:p>
    <w:p w14:paraId="6A01AB2B">
      <w:pPr>
        <w:pStyle w:val="4"/>
        <w:keepNext w:val="0"/>
        <w:keepLines w:val="0"/>
        <w:pageBreakBefore w:val="0"/>
        <w:widowControl w:val="0"/>
        <w:numPr>
          <w:ilvl w:val="-1"/>
          <w:numId w:val="0"/>
        </w:numPr>
        <w:kinsoku/>
        <w:wordWrap/>
        <w:overflowPunct/>
        <w:topLinePunct w:val="0"/>
        <w:autoSpaceDE w:val="0"/>
        <w:autoSpaceDN w:val="0"/>
        <w:bidi w:val="0"/>
        <w:adjustRightInd/>
        <w:snapToGrid/>
        <w:spacing w:line="579" w:lineRule="exact"/>
        <w:ind w:firstLine="656" w:firstLineChars="200"/>
        <w:jc w:val="both"/>
        <w:textAlignment w:val="auto"/>
        <w:outlineLvl w:val="9"/>
        <w:rPr>
          <w:rFonts w:hint="eastAsia"/>
          <w:spacing w:val="4"/>
          <w:w w:val="100"/>
          <w:highlight w:val="none"/>
          <w:lang w:eastAsia="zh-CN"/>
        </w:rPr>
      </w:pPr>
      <w:r>
        <w:rPr>
          <w:rFonts w:hint="eastAsia"/>
          <w:spacing w:val="4"/>
          <w:w w:val="100"/>
          <w:highlight w:val="none"/>
          <w:lang w:eastAsia="zh-CN"/>
        </w:rPr>
        <w:t>福田区政务服务和数据管理局作为区数据管理部门，负责指导协调、监督管理全区公共数据资源授权运营工作，制订授权运营管理制度和标准规范，强化数据资源整合，</w:t>
      </w:r>
      <w:r>
        <w:rPr>
          <w:rFonts w:hint="eastAsia"/>
          <w:spacing w:val="4"/>
          <w:w w:val="100"/>
          <w:highlight w:val="none"/>
          <w:lang w:val="en-US" w:eastAsia="zh-CN"/>
        </w:rPr>
        <w:t>协同</w:t>
      </w:r>
      <w:r>
        <w:rPr>
          <w:rFonts w:hint="eastAsia"/>
          <w:spacing w:val="4"/>
          <w:w w:val="100"/>
          <w:highlight w:val="none"/>
          <w:lang w:eastAsia="zh-CN"/>
        </w:rPr>
        <w:t>有关部门开展数据安全监管工作。</w:t>
      </w:r>
    </w:p>
    <w:p w14:paraId="7D3F0329">
      <w:pPr>
        <w:pStyle w:val="4"/>
        <w:keepNext w:val="0"/>
        <w:keepLines w:val="0"/>
        <w:pageBreakBefore w:val="0"/>
        <w:widowControl w:val="0"/>
        <w:kinsoku/>
        <w:wordWrap/>
        <w:overflowPunct/>
        <w:topLinePunct w:val="0"/>
        <w:autoSpaceDE w:val="0"/>
        <w:autoSpaceDN w:val="0"/>
        <w:bidi w:val="0"/>
        <w:adjustRightInd/>
        <w:snapToGrid/>
        <w:spacing w:line="579" w:lineRule="exact"/>
        <w:ind w:left="0" w:firstLine="656" w:firstLineChars="200"/>
        <w:jc w:val="both"/>
        <w:textAlignment w:val="auto"/>
        <w:rPr>
          <w:rFonts w:hint="eastAsia"/>
          <w:spacing w:val="4"/>
          <w:w w:val="100"/>
          <w:highlight w:val="none"/>
          <w:lang w:eastAsia="zh-CN"/>
        </w:rPr>
      </w:pPr>
      <w:r>
        <w:rPr>
          <w:rFonts w:hint="eastAsia"/>
          <w:spacing w:val="4"/>
          <w:w w:val="100"/>
          <w:highlight w:val="none"/>
          <w:lang w:eastAsia="zh-CN"/>
        </w:rPr>
        <w:t>福田区民意速办和智慧城市建设中心作为实施机构，负责</w:t>
      </w:r>
      <w:r>
        <w:rPr>
          <w:rFonts w:hint="eastAsia"/>
          <w:spacing w:val="4"/>
          <w:w w:val="100"/>
          <w:highlight w:val="none"/>
          <w:lang w:val="en-US" w:eastAsia="zh-CN"/>
        </w:rPr>
        <w:t>方案实施</w:t>
      </w:r>
      <w:r>
        <w:rPr>
          <w:rFonts w:hint="eastAsia"/>
          <w:spacing w:val="4"/>
          <w:w w:val="100"/>
          <w:highlight w:val="none"/>
          <w:lang w:eastAsia="zh-CN"/>
        </w:rPr>
        <w:t>、信息披露、遴选和管理运营机构等工作，</w:t>
      </w:r>
      <w:r>
        <w:rPr>
          <w:rFonts w:hint="eastAsia" w:ascii="仿宋_GB2312" w:hAnsi="仿宋_GB2312" w:eastAsia="仿宋_GB2312" w:cs="仿宋_GB2312"/>
          <w:b w:val="0"/>
          <w:bCs w:val="0"/>
          <w:w w:val="100"/>
          <w:highlight w:val="none"/>
          <w:lang w:val="en-US" w:eastAsia="zh-CN"/>
        </w:rPr>
        <w:t>并履行国家规定的公共数据资源授权运营价格形成机制中授权主体的相关职责。</w:t>
      </w:r>
    </w:p>
    <w:p w14:paraId="75C787BF">
      <w:pPr>
        <w:keepNext w:val="0"/>
        <w:keepLines w:val="0"/>
        <w:widowControl w:val="0"/>
        <w:suppressLineNumbers w:val="0"/>
        <w:spacing w:line="579" w:lineRule="exact"/>
        <w:ind w:firstLine="656" w:firstLineChars="200"/>
        <w:jc w:val="left"/>
        <w:rPr>
          <w:rFonts w:hint="eastAsia" w:ascii="仿宋_GB2312" w:hAnsi="仿宋_GB2312" w:eastAsia="仿宋_GB2312" w:cs="仿宋_GB2312"/>
          <w:spacing w:val="4"/>
          <w:w w:val="100"/>
          <w:kern w:val="0"/>
          <w:sz w:val="32"/>
          <w:szCs w:val="32"/>
          <w:highlight w:val="none"/>
          <w:lang w:val="en-US" w:eastAsia="zh-CN" w:bidi="ar-SA"/>
        </w:rPr>
      </w:pPr>
      <w:r>
        <w:rPr>
          <w:rFonts w:hint="eastAsia" w:ascii="仿宋_GB2312" w:hAnsi="仿宋_GB2312" w:eastAsia="仿宋_GB2312" w:cs="仿宋_GB2312"/>
          <w:color w:val="auto"/>
          <w:spacing w:val="4"/>
          <w:w w:val="100"/>
          <w:kern w:val="0"/>
          <w:sz w:val="32"/>
          <w:szCs w:val="32"/>
          <w:highlight w:val="none"/>
          <w:lang w:val="en-US" w:eastAsia="zh-CN" w:bidi="ar-SA"/>
        </w:rPr>
        <w:t>网信、公安、国安、保密、密码、发展改革、财政、审计、国资、市场监管、金融等部门，在职责范围内协同开展授权运营全过程监督管理工作。</w:t>
      </w:r>
    </w:p>
    <w:p w14:paraId="35D2E840">
      <w:pPr>
        <w:keepNext w:val="0"/>
        <w:keepLines w:val="0"/>
        <w:widowControl w:val="0"/>
        <w:suppressLineNumbers w:val="0"/>
        <w:spacing w:line="579" w:lineRule="exact"/>
        <w:ind w:firstLine="656" w:firstLineChars="200"/>
        <w:jc w:val="left"/>
        <w:rPr>
          <w:rFonts w:hint="eastAsia"/>
          <w:spacing w:val="4"/>
          <w:w w:val="100"/>
          <w:sz w:val="32"/>
          <w:szCs w:val="32"/>
          <w:highlight w:val="none"/>
          <w:lang w:eastAsia="zh-CN"/>
        </w:rPr>
      </w:pPr>
      <w:r>
        <w:rPr>
          <w:rFonts w:hint="eastAsia" w:ascii="仿宋_GB2312" w:hAnsi="仿宋_GB2312" w:eastAsia="仿宋_GB2312" w:cs="仿宋_GB2312"/>
          <w:color w:val="auto"/>
          <w:spacing w:val="4"/>
          <w:w w:val="100"/>
          <w:kern w:val="0"/>
          <w:sz w:val="32"/>
          <w:szCs w:val="32"/>
          <w:highlight w:val="none"/>
          <w:lang w:val="en-US" w:eastAsia="zh-CN" w:bidi="ar-SA"/>
        </w:rPr>
        <w:t>行业主管部门负责做好本部门、本行业公共数据资源目录编制、数据提供、质量管理等工作，协同监督涉及本行业领域的授权运营活动。</w:t>
      </w:r>
    </w:p>
    <w:p w14:paraId="542C09FB">
      <w:pPr>
        <w:pStyle w:val="4"/>
        <w:keepNext w:val="0"/>
        <w:keepLines w:val="0"/>
        <w:pageBreakBefore w:val="0"/>
        <w:widowControl w:val="0"/>
        <w:numPr>
          <w:ilvl w:val="0"/>
          <w:numId w:val="1"/>
        </w:numPr>
        <w:kinsoku/>
        <w:wordWrap/>
        <w:overflowPunct/>
        <w:topLinePunct w:val="0"/>
        <w:autoSpaceDE w:val="0"/>
        <w:autoSpaceDN w:val="0"/>
        <w:bidi w:val="0"/>
        <w:adjustRightInd/>
        <w:snapToGrid/>
        <w:spacing w:before="300" w:beforeLines="100" w:after="300" w:afterLines="100" w:line="579" w:lineRule="exact"/>
        <w:ind w:left="0"/>
        <w:jc w:val="center"/>
        <w:textAlignment w:val="auto"/>
        <w:outlineLvl w:val="0"/>
        <w:rPr>
          <w:rFonts w:hint="eastAsia" w:ascii="黑体" w:hAnsi="黑体" w:eastAsia="黑体" w:cs="黑体"/>
          <w:w w:val="100"/>
          <w:highlight w:val="none"/>
        </w:rPr>
      </w:pPr>
      <w:r>
        <w:rPr>
          <w:rFonts w:hint="eastAsia" w:ascii="黑体" w:hAnsi="黑体" w:eastAsia="黑体" w:cs="黑体"/>
          <w:w w:val="100"/>
          <w:highlight w:val="none"/>
          <w:lang w:val="en-US" w:eastAsia="zh-CN"/>
        </w:rPr>
        <w:t>数据供给</w:t>
      </w:r>
    </w:p>
    <w:p w14:paraId="6C322E6C">
      <w:pPr>
        <w:pStyle w:val="4"/>
        <w:keepNext w:val="0"/>
        <w:keepLines w:val="0"/>
        <w:pageBreakBefore w:val="0"/>
        <w:widowControl w:val="0"/>
        <w:numPr>
          <w:ilvl w:val="0"/>
          <w:numId w:val="2"/>
        </w:numPr>
        <w:tabs>
          <w:tab w:val="left" w:pos="4810"/>
          <w:tab w:val="clear" w:pos="0"/>
        </w:tabs>
        <w:kinsoku/>
        <w:wordWrap/>
        <w:overflowPunct/>
        <w:topLinePunct w:val="0"/>
        <w:autoSpaceDE w:val="0"/>
        <w:autoSpaceDN w:val="0"/>
        <w:bidi w:val="0"/>
        <w:adjustRightInd/>
        <w:snapToGrid/>
        <w:spacing w:line="579" w:lineRule="exact"/>
        <w:ind w:left="0" w:firstLine="640" w:firstLineChars="200"/>
        <w:jc w:val="both"/>
        <w:textAlignment w:val="auto"/>
        <w:outlineLvl w:val="0"/>
        <w:rPr>
          <w:rFonts w:hint="eastAsia"/>
          <w:spacing w:val="4"/>
          <w:w w:val="100"/>
          <w:highlight w:val="none"/>
          <w:lang w:eastAsia="zh-CN"/>
        </w:rPr>
      </w:pPr>
      <w:r>
        <w:rPr>
          <w:rFonts w:hint="eastAsia" w:ascii="仿宋_GB2312" w:hAnsi="仿宋_GB2312" w:eastAsia="仿宋_GB2312" w:cs="仿宋_GB2312"/>
          <w:b w:val="0"/>
          <w:color w:val="000000"/>
          <w:sz w:val="32"/>
        </w:rPr>
        <w:t>对纳入授权运营范围的公共数据资源实行统一目录管理。</w:t>
      </w:r>
    </w:p>
    <w:p w14:paraId="24B3B0E9">
      <w:pPr>
        <w:pStyle w:val="4"/>
        <w:keepNext w:val="0"/>
        <w:keepLines w:val="0"/>
        <w:pageBreakBefore w:val="0"/>
        <w:widowControl w:val="0"/>
        <w:numPr>
          <w:ilvl w:val="-1"/>
          <w:numId w:val="0"/>
        </w:numPr>
        <w:tabs>
          <w:tab w:val="left" w:pos="4810"/>
        </w:tabs>
        <w:kinsoku/>
        <w:wordWrap/>
        <w:overflowPunct/>
        <w:topLinePunct w:val="0"/>
        <w:autoSpaceDE w:val="0"/>
        <w:autoSpaceDN w:val="0"/>
        <w:bidi w:val="0"/>
        <w:adjustRightInd/>
        <w:snapToGrid/>
        <w:spacing w:line="579" w:lineRule="exact"/>
        <w:ind w:left="0" w:leftChars="0" w:firstLine="656" w:firstLineChars="200"/>
        <w:jc w:val="both"/>
        <w:textAlignment w:val="auto"/>
        <w:outlineLvl w:val="0"/>
        <w:rPr>
          <w:rFonts w:hint="eastAsia" w:eastAsia="仿宋_GB2312"/>
          <w:spacing w:val="4"/>
          <w:w w:val="100"/>
          <w:highlight w:val="none"/>
          <w:lang w:eastAsia="zh-CN"/>
        </w:rPr>
      </w:pPr>
      <w:r>
        <w:rPr>
          <w:rFonts w:hint="eastAsia"/>
          <w:spacing w:val="4"/>
          <w:w w:val="100"/>
          <w:highlight w:val="none"/>
          <w:lang w:val="en-US" w:eastAsia="zh-CN"/>
        </w:rPr>
        <w:t>区</w:t>
      </w:r>
      <w:r>
        <w:rPr>
          <w:rFonts w:hint="eastAsia"/>
          <w:spacing w:val="4"/>
          <w:w w:val="100"/>
          <w:highlight w:val="none"/>
          <w:lang w:eastAsia="zh-CN"/>
        </w:rPr>
        <w:t>数据管理部门</w:t>
      </w:r>
      <w:r>
        <w:rPr>
          <w:rFonts w:hint="eastAsia"/>
          <w:spacing w:val="4"/>
          <w:w w:val="100"/>
          <w:highlight w:val="none"/>
          <w:lang w:val="en-US" w:eastAsia="zh-CN"/>
        </w:rPr>
        <w:t>负责</w:t>
      </w:r>
      <w:r>
        <w:rPr>
          <w:rFonts w:hint="eastAsia"/>
          <w:spacing w:val="4"/>
          <w:w w:val="100"/>
          <w:highlight w:val="none"/>
          <w:lang w:eastAsia="zh-CN"/>
        </w:rPr>
        <w:t>形成</w:t>
      </w:r>
      <w:r>
        <w:rPr>
          <w:rFonts w:hint="eastAsia"/>
          <w:spacing w:val="4"/>
          <w:w w:val="100"/>
          <w:highlight w:val="none"/>
          <w:lang w:val="en-US" w:eastAsia="zh-CN"/>
        </w:rPr>
        <w:t>本区</w:t>
      </w:r>
      <w:r>
        <w:rPr>
          <w:rFonts w:hint="eastAsia"/>
          <w:spacing w:val="4"/>
          <w:w w:val="100"/>
          <w:highlight w:val="none"/>
          <w:lang w:eastAsia="zh-CN"/>
        </w:rPr>
        <w:t>公共数据资源授权运营目录。</w:t>
      </w:r>
      <w:r>
        <w:rPr>
          <w:rFonts w:hint="eastAsia" w:ascii="仿宋_GB2312" w:hAnsi="仿宋_GB2312" w:eastAsia="仿宋_GB2312" w:cs="仿宋_GB2312"/>
          <w:b w:val="0"/>
          <w:color w:val="000000"/>
          <w:sz w:val="32"/>
        </w:rPr>
        <w:t>授权运营目录实行动态更新并向社会公开</w:t>
      </w:r>
      <w:r>
        <w:rPr>
          <w:rFonts w:hint="eastAsia" w:cs="仿宋_GB2312"/>
          <w:b w:val="0"/>
          <w:color w:val="000000"/>
          <w:sz w:val="32"/>
          <w:lang w:eastAsia="zh-CN"/>
        </w:rPr>
        <w:t>。</w:t>
      </w:r>
    </w:p>
    <w:p w14:paraId="54478159">
      <w:pPr>
        <w:pStyle w:val="4"/>
        <w:keepNext w:val="0"/>
        <w:keepLines w:val="0"/>
        <w:pageBreakBefore w:val="0"/>
        <w:widowControl w:val="0"/>
        <w:numPr>
          <w:ilvl w:val="-1"/>
          <w:numId w:val="0"/>
        </w:numPr>
        <w:tabs>
          <w:tab w:val="left" w:pos="4810"/>
        </w:tabs>
        <w:kinsoku/>
        <w:wordWrap/>
        <w:overflowPunct/>
        <w:topLinePunct w:val="0"/>
        <w:autoSpaceDE w:val="0"/>
        <w:autoSpaceDN w:val="0"/>
        <w:bidi w:val="0"/>
        <w:adjustRightInd/>
        <w:snapToGrid/>
        <w:spacing w:line="579" w:lineRule="exact"/>
        <w:ind w:left="0" w:leftChars="0" w:firstLine="656" w:firstLineChars="200"/>
        <w:jc w:val="both"/>
        <w:textAlignment w:val="auto"/>
        <w:outlineLvl w:val="0"/>
        <w:rPr>
          <w:rFonts w:hint="eastAsia"/>
          <w:spacing w:val="4"/>
          <w:w w:val="100"/>
          <w:highlight w:val="none"/>
          <w:lang w:eastAsia="zh-CN"/>
        </w:rPr>
      </w:pPr>
      <w:r>
        <w:rPr>
          <w:rFonts w:hint="eastAsia"/>
          <w:spacing w:val="4"/>
          <w:w w:val="100"/>
          <w:highlight w:val="none"/>
          <w:lang w:eastAsia="zh-CN"/>
        </w:rPr>
        <w:t>数据提供部门负责本部门</w:t>
      </w:r>
      <w:r>
        <w:rPr>
          <w:rFonts w:hint="eastAsia"/>
          <w:spacing w:val="4"/>
          <w:w w:val="100"/>
          <w:highlight w:val="none"/>
          <w:lang w:val="en-US" w:eastAsia="zh-CN"/>
        </w:rPr>
        <w:t>纳入授权运营的</w:t>
      </w:r>
      <w:r>
        <w:rPr>
          <w:rFonts w:hint="eastAsia"/>
          <w:spacing w:val="4"/>
          <w:w w:val="100"/>
          <w:highlight w:val="none"/>
          <w:lang w:eastAsia="zh-CN"/>
        </w:rPr>
        <w:t>公共数据资源</w:t>
      </w:r>
      <w:r>
        <w:rPr>
          <w:rFonts w:hint="eastAsia"/>
          <w:spacing w:val="4"/>
          <w:w w:val="100"/>
          <w:highlight w:val="none"/>
          <w:lang w:val="en-US" w:eastAsia="zh-CN"/>
        </w:rPr>
        <w:t>供给、更新、</w:t>
      </w:r>
      <w:r>
        <w:rPr>
          <w:rFonts w:hint="eastAsia"/>
          <w:spacing w:val="4"/>
          <w:w w:val="100"/>
          <w:highlight w:val="none"/>
          <w:lang w:eastAsia="zh-CN"/>
        </w:rPr>
        <w:t>质量保障</w:t>
      </w:r>
      <w:r>
        <w:rPr>
          <w:rFonts w:hint="eastAsia"/>
          <w:spacing w:val="4"/>
          <w:w w:val="100"/>
          <w:highlight w:val="none"/>
          <w:lang w:val="en-US" w:eastAsia="zh-CN"/>
        </w:rPr>
        <w:t>和合规管理，并按照国家有关规定完成</w:t>
      </w:r>
      <w:r>
        <w:rPr>
          <w:rFonts w:hint="eastAsia"/>
          <w:spacing w:val="4"/>
          <w:w w:val="100"/>
          <w:highlight w:val="none"/>
          <w:lang w:eastAsia="zh-CN"/>
        </w:rPr>
        <w:t>登记。</w:t>
      </w:r>
    </w:p>
    <w:p w14:paraId="5F1C4830">
      <w:pPr>
        <w:pStyle w:val="4"/>
        <w:keepNext w:val="0"/>
        <w:keepLines w:val="0"/>
        <w:pageBreakBefore w:val="0"/>
        <w:widowControl w:val="0"/>
        <w:numPr>
          <w:ilvl w:val="-1"/>
          <w:numId w:val="0"/>
        </w:numPr>
        <w:tabs>
          <w:tab w:val="left" w:pos="4810"/>
        </w:tabs>
        <w:kinsoku/>
        <w:wordWrap/>
        <w:overflowPunct/>
        <w:topLinePunct w:val="0"/>
        <w:autoSpaceDE w:val="0"/>
        <w:autoSpaceDN w:val="0"/>
        <w:bidi w:val="0"/>
        <w:adjustRightInd/>
        <w:snapToGrid/>
        <w:spacing w:line="579" w:lineRule="exact"/>
        <w:ind w:left="0" w:leftChars="0" w:firstLine="640" w:firstLineChars="200"/>
        <w:jc w:val="both"/>
        <w:textAlignment w:val="auto"/>
        <w:outlineLvl w:val="0"/>
        <w:rPr>
          <w:rFonts w:hint="eastAsia"/>
          <w:spacing w:val="4"/>
          <w:w w:val="100"/>
          <w:highlight w:val="none"/>
          <w:lang w:eastAsia="zh-CN"/>
        </w:rPr>
      </w:pPr>
      <w:r>
        <w:rPr>
          <w:rFonts w:hint="eastAsia" w:ascii="仿宋_GB2312" w:hAnsi="仿宋_GB2312" w:eastAsia="仿宋_GB2312" w:cs="仿宋_GB2312"/>
          <w:b w:val="0"/>
          <w:color w:val="000000"/>
          <w:sz w:val="32"/>
        </w:rPr>
        <w:t>原则上经合理处理，不危害国家安全、公共利益，不侵犯商业秘密和个人隐私、个人信息权益，且法律法规未禁止共享的公共数据资源，应当纳入授权运营范围；对不同意纳入的，应说明理由和依据。以政务数据共享方式获得的其他地区或部门的公共数据，用于授权运营的，应征得共享数据提供单位同意</w:t>
      </w:r>
      <w:r>
        <w:rPr>
          <w:rFonts w:hint="eastAsia" w:ascii="仿宋_GB2312" w:hAnsi="仿宋_GB2312" w:eastAsia="仿宋_GB2312" w:cs="仿宋_GB2312"/>
          <w:b w:val="0"/>
          <w:color w:val="000000"/>
          <w:sz w:val="32"/>
          <w:lang w:eastAsia="zh-CN"/>
        </w:rPr>
        <w:t>。</w:t>
      </w:r>
    </w:p>
    <w:p w14:paraId="0F8CEABA">
      <w:pPr>
        <w:pStyle w:val="4"/>
        <w:widowControl w:val="0"/>
        <w:numPr>
          <w:ilvl w:val="0"/>
          <w:numId w:val="2"/>
        </w:numPr>
        <w:tabs>
          <w:tab w:val="left" w:pos="4810"/>
          <w:tab w:val="clear" w:pos="0"/>
        </w:tabs>
        <w:autoSpaceDE w:val="0"/>
        <w:autoSpaceDN w:val="0"/>
        <w:spacing w:before="0" w:after="0" w:line="579" w:lineRule="exact"/>
        <w:ind w:firstLine="656" w:firstLineChars="200"/>
        <w:jc w:val="both"/>
        <w:outlineLvl w:val="0"/>
        <w:rPr>
          <w:rFonts w:hint="eastAsia" w:ascii="仿宋_GB2312" w:hAnsi="仿宋_GB2312" w:eastAsia="仿宋_GB2312" w:cs="仿宋_GB2312"/>
          <w:sz w:val="32"/>
        </w:rPr>
      </w:pPr>
      <w:r>
        <w:rPr>
          <w:rFonts w:hint="eastAsia"/>
          <w:spacing w:val="4"/>
          <w:w w:val="100"/>
          <w:highlight w:val="none"/>
          <w:lang w:eastAsia="zh-CN"/>
        </w:rPr>
        <w:t>授权运营过程中，因数据归集、治理、使用等问题产生争议的，由区数据管理部门协调处理。</w:t>
      </w:r>
      <w:r>
        <w:rPr>
          <w:rFonts w:hint="eastAsia"/>
          <w:spacing w:val="4"/>
          <w:w w:val="100"/>
          <w:highlight w:val="none"/>
          <w:lang w:val="en-US" w:eastAsia="zh-CN"/>
        </w:rPr>
        <w:t>区</w:t>
      </w:r>
      <w:r>
        <w:rPr>
          <w:rFonts w:hint="eastAsia"/>
          <w:spacing w:val="4"/>
          <w:w w:val="100"/>
          <w:highlight w:val="none"/>
          <w:lang w:eastAsia="zh-CN"/>
        </w:rPr>
        <w:t>数据管理部门无法协调解决的，提请</w:t>
      </w:r>
      <w:r>
        <w:rPr>
          <w:rFonts w:hint="eastAsia" w:eastAsia="仿宋_GB2312"/>
          <w:spacing w:val="4"/>
          <w:w w:val="100"/>
          <w:highlight w:val="none"/>
          <w:lang w:eastAsia="zh-CN"/>
        </w:rPr>
        <w:t>福田区推进政府职能转变和数字政府建设领导小组</w:t>
      </w:r>
      <w:r>
        <w:rPr>
          <w:rFonts w:hint="eastAsia"/>
          <w:spacing w:val="4"/>
          <w:w w:val="100"/>
          <w:highlight w:val="none"/>
          <w:lang w:eastAsia="zh-CN"/>
        </w:rPr>
        <w:t xml:space="preserve">协调解决。 </w:t>
      </w:r>
    </w:p>
    <w:p w14:paraId="69C37511">
      <w:pPr>
        <w:pStyle w:val="4"/>
        <w:keepNext w:val="0"/>
        <w:keepLines w:val="0"/>
        <w:pageBreakBefore w:val="0"/>
        <w:widowControl w:val="0"/>
        <w:numPr>
          <w:ilvl w:val="0"/>
          <w:numId w:val="2"/>
        </w:numPr>
        <w:tabs>
          <w:tab w:val="left" w:pos="4810"/>
          <w:tab w:val="clear" w:pos="0"/>
        </w:tabs>
        <w:kinsoku/>
        <w:wordWrap/>
        <w:overflowPunct/>
        <w:topLinePunct w:val="0"/>
        <w:autoSpaceDE w:val="0"/>
        <w:autoSpaceDN w:val="0"/>
        <w:bidi w:val="0"/>
        <w:adjustRightInd/>
        <w:snapToGrid/>
        <w:spacing w:before="0" w:beforeLines="-2147483648" w:after="0" w:afterLines="-2147483648" w:line="579" w:lineRule="exact"/>
        <w:ind w:left="0" w:firstLine="640" w:firstLineChars="200"/>
        <w:jc w:val="left"/>
        <w:textAlignment w:val="auto"/>
        <w:outlineLvl w:val="0"/>
        <w:rPr>
          <w:rFonts w:hint="eastAsia" w:ascii="仿宋_GB2312" w:hAnsi="仿宋_GB2312" w:eastAsia="仿宋_GB2312" w:cs="仿宋_GB2312"/>
          <w:w w:val="100"/>
          <w:highlight w:val="none"/>
        </w:rPr>
      </w:pPr>
      <w:r>
        <w:rPr>
          <w:rFonts w:hint="eastAsia" w:ascii="仿宋_GB2312" w:hAnsi="仿宋_GB2312" w:eastAsia="仿宋_GB2312" w:cs="仿宋_GB2312"/>
          <w:w w:val="100"/>
          <w:highlight w:val="none"/>
        </w:rPr>
        <w:t>鼓励运营机构等积极对接</w:t>
      </w:r>
      <w:r>
        <w:rPr>
          <w:rFonts w:hint="eastAsia"/>
          <w:highlight w:val="none"/>
        </w:rPr>
        <w:t>国家部委、省</w:t>
      </w:r>
      <w:r>
        <w:rPr>
          <w:rFonts w:hint="eastAsia" w:eastAsia="仿宋_GB2312"/>
          <w:highlight w:val="none"/>
          <w:lang w:eastAsia="zh-CN"/>
        </w:rPr>
        <w:t>、</w:t>
      </w:r>
      <w:r>
        <w:rPr>
          <w:rFonts w:hint="eastAsia"/>
          <w:highlight w:val="none"/>
        </w:rPr>
        <w:t>市</w:t>
      </w:r>
      <w:r>
        <w:rPr>
          <w:rFonts w:hint="eastAsia" w:ascii="仿宋_GB2312" w:eastAsia="仿宋_GB2312"/>
          <w:highlight w:val="none"/>
          <w:lang w:val="en-US" w:eastAsia="zh-CN"/>
        </w:rPr>
        <w:t>和其他地区的</w:t>
      </w:r>
      <w:r>
        <w:rPr>
          <w:rFonts w:hint="eastAsia" w:ascii="仿宋_GB2312" w:hAnsi="仿宋_GB2312" w:eastAsia="仿宋_GB2312" w:cs="仿宋_GB2312"/>
          <w:w w:val="100"/>
          <w:highlight w:val="none"/>
        </w:rPr>
        <w:t>公共数据资源，以及依法合规获取非公共数据资源，</w:t>
      </w:r>
      <w:r>
        <w:rPr>
          <w:rFonts w:hint="eastAsia" w:cs="仿宋_GB2312"/>
          <w:w w:val="100"/>
          <w:highlight w:val="none"/>
          <w:lang w:val="en-US" w:eastAsia="zh-CN"/>
        </w:rPr>
        <w:t>围</w:t>
      </w:r>
      <w:r>
        <w:rPr>
          <w:rFonts w:hint="eastAsia" w:ascii="仿宋_GB2312" w:hAnsi="仿宋_GB2312" w:eastAsia="仿宋_GB2312" w:cs="仿宋_GB2312"/>
          <w:w w:val="100"/>
          <w:highlight w:val="none"/>
        </w:rPr>
        <w:t>绕</w:t>
      </w:r>
      <w:r>
        <w:rPr>
          <w:rFonts w:hint="eastAsia" w:ascii="仿宋_GB2312" w:eastAsia="仿宋_GB2312"/>
          <w:highlight w:val="none"/>
          <w:lang w:val="en-US" w:eastAsia="zh-CN"/>
        </w:rPr>
        <w:t>金融、科技、</w:t>
      </w:r>
      <w:r>
        <w:rPr>
          <w:rFonts w:hint="eastAsia"/>
          <w:highlight w:val="none"/>
        </w:rPr>
        <w:t>医疗、</w:t>
      </w:r>
      <w:r>
        <w:rPr>
          <w:rFonts w:hint="eastAsia" w:ascii="仿宋_GB2312" w:eastAsia="仿宋_GB2312"/>
          <w:highlight w:val="none"/>
          <w:lang w:val="en-US" w:eastAsia="zh-CN"/>
        </w:rPr>
        <w:t>时尚</w:t>
      </w:r>
      <w:r>
        <w:rPr>
          <w:rFonts w:hint="eastAsia"/>
          <w:highlight w:val="none"/>
        </w:rPr>
        <w:t>、交通、</w:t>
      </w:r>
      <w:r>
        <w:rPr>
          <w:rFonts w:hint="eastAsia"/>
          <w:highlight w:val="none"/>
          <w:lang w:val="en-US" w:eastAsia="zh-CN"/>
        </w:rPr>
        <w:t>教育</w:t>
      </w:r>
      <w:r>
        <w:rPr>
          <w:rFonts w:hint="eastAsia" w:ascii="仿宋_GB2312" w:hAnsi="仿宋_GB2312" w:eastAsia="仿宋_GB2312" w:cs="仿宋_GB2312"/>
          <w:w w:val="100"/>
          <w:highlight w:val="none"/>
        </w:rPr>
        <w:t>等重点领域，引导相关参与方共同挖掘高价值数据应用场景</w:t>
      </w:r>
      <w:r>
        <w:rPr>
          <w:rFonts w:hint="eastAsia" w:cs="仿宋_GB2312"/>
          <w:w w:val="100"/>
          <w:highlight w:val="none"/>
          <w:lang w:eastAsia="zh-CN"/>
        </w:rPr>
        <w:t>，</w:t>
      </w:r>
      <w:r>
        <w:rPr>
          <w:rFonts w:hint="eastAsia" w:ascii="仿宋_GB2312" w:hAnsi="仿宋_GB2312" w:eastAsia="仿宋_GB2312" w:cs="仿宋_GB2312"/>
          <w:w w:val="100"/>
          <w:highlight w:val="none"/>
        </w:rPr>
        <w:t>促进行业高质量数据汇聚、共享、处理和使用，赋能</w:t>
      </w:r>
      <w:r>
        <w:rPr>
          <w:rFonts w:hint="eastAsia" w:cs="仿宋_GB2312"/>
          <w:w w:val="100"/>
          <w:highlight w:val="none"/>
          <w:lang w:val="en-US" w:eastAsia="zh-CN"/>
        </w:rPr>
        <w:t>全</w:t>
      </w:r>
      <w:r>
        <w:rPr>
          <w:rFonts w:hint="eastAsia" w:eastAsia="仿宋_GB2312"/>
          <w:highlight w:val="none"/>
          <w:lang w:eastAsia="zh-CN"/>
        </w:rPr>
        <w:t>区</w:t>
      </w:r>
      <w:r>
        <w:rPr>
          <w:rFonts w:hint="eastAsia" w:ascii="仿宋_GB2312" w:hAnsi="仿宋_GB2312" w:eastAsia="仿宋_GB2312" w:cs="仿宋_GB2312"/>
          <w:w w:val="100"/>
          <w:highlight w:val="none"/>
        </w:rPr>
        <w:t>人工智能产业发展。</w:t>
      </w:r>
    </w:p>
    <w:p w14:paraId="0EE752C3">
      <w:pPr>
        <w:pStyle w:val="4"/>
        <w:keepNext w:val="0"/>
        <w:keepLines w:val="0"/>
        <w:pageBreakBefore w:val="0"/>
        <w:widowControl w:val="0"/>
        <w:numPr>
          <w:ilvl w:val="0"/>
          <w:numId w:val="1"/>
        </w:numPr>
        <w:kinsoku/>
        <w:wordWrap/>
        <w:overflowPunct/>
        <w:topLinePunct w:val="0"/>
        <w:autoSpaceDE w:val="0"/>
        <w:autoSpaceDN w:val="0"/>
        <w:bidi w:val="0"/>
        <w:adjustRightInd/>
        <w:snapToGrid/>
        <w:spacing w:before="300" w:beforeLines="100" w:after="300" w:afterLines="100" w:line="579" w:lineRule="exact"/>
        <w:ind w:left="0"/>
        <w:jc w:val="center"/>
        <w:textAlignment w:val="auto"/>
        <w:outlineLvl w:val="0"/>
        <w:rPr>
          <w:rFonts w:hint="eastAsia" w:ascii="黑体" w:hAnsi="黑体" w:eastAsia="黑体" w:cs="黑体"/>
          <w:w w:val="100"/>
          <w:highlight w:val="none"/>
        </w:rPr>
      </w:pPr>
      <w:r>
        <w:rPr>
          <w:rFonts w:hint="eastAsia" w:ascii="黑体" w:hAnsi="黑体" w:eastAsia="黑体" w:cs="黑体"/>
          <w:w w:val="100"/>
          <w:highlight w:val="none"/>
        </w:rPr>
        <w:t>授权管理</w:t>
      </w:r>
    </w:p>
    <w:p w14:paraId="33CCE53E">
      <w:pPr>
        <w:pStyle w:val="4"/>
        <w:keepNext w:val="0"/>
        <w:keepLines w:val="0"/>
        <w:pageBreakBefore w:val="0"/>
        <w:widowControl w:val="0"/>
        <w:numPr>
          <w:ilvl w:val="0"/>
          <w:numId w:val="2"/>
        </w:numPr>
        <w:tabs>
          <w:tab w:val="left" w:pos="4810"/>
          <w:tab w:val="clear" w:pos="0"/>
        </w:tabs>
        <w:kinsoku/>
        <w:wordWrap/>
        <w:overflowPunct/>
        <w:topLinePunct w:val="0"/>
        <w:autoSpaceDE w:val="0"/>
        <w:autoSpaceDN w:val="0"/>
        <w:bidi w:val="0"/>
        <w:adjustRightInd/>
        <w:snapToGrid/>
        <w:spacing w:line="579" w:lineRule="exact"/>
        <w:ind w:firstLine="656" w:firstLineChars="200"/>
        <w:jc w:val="both"/>
        <w:textAlignment w:val="auto"/>
        <w:outlineLvl w:val="0"/>
        <w:rPr>
          <w:rFonts w:hint="eastAsia"/>
          <w:spacing w:val="4"/>
          <w:w w:val="100"/>
          <w:highlight w:val="none"/>
          <w:lang w:eastAsia="zh-CN"/>
        </w:rPr>
      </w:pPr>
      <w:r>
        <w:rPr>
          <w:rFonts w:hint="eastAsia"/>
          <w:spacing w:val="4"/>
          <w:w w:val="100"/>
          <w:highlight w:val="none"/>
          <w:lang w:eastAsia="zh-CN"/>
        </w:rPr>
        <w:t>区数据管理部门</w:t>
      </w:r>
      <w:r>
        <w:rPr>
          <w:rFonts w:hint="eastAsia"/>
          <w:spacing w:val="4"/>
          <w:w w:val="100"/>
          <w:highlight w:val="none"/>
          <w:lang w:val="en-US" w:eastAsia="zh-CN"/>
        </w:rPr>
        <w:t>牵头组织</w:t>
      </w:r>
      <w:r>
        <w:rPr>
          <w:rFonts w:hint="eastAsia"/>
          <w:spacing w:val="4"/>
          <w:w w:val="100"/>
          <w:highlight w:val="none"/>
          <w:lang w:eastAsia="zh-CN"/>
        </w:rPr>
        <w:t>编制公共数据资源授权运营实施方案，方案内容</w:t>
      </w:r>
      <w:r>
        <w:rPr>
          <w:rFonts w:hint="eastAsia"/>
          <w:spacing w:val="4"/>
          <w:w w:val="100"/>
          <w:highlight w:val="none"/>
          <w:lang w:val="en-US" w:eastAsia="zh-CN"/>
        </w:rPr>
        <w:t>应符合</w:t>
      </w:r>
      <w:r>
        <w:rPr>
          <w:rFonts w:hint="eastAsia"/>
          <w:spacing w:val="4"/>
          <w:w w:val="100"/>
          <w:highlight w:val="none"/>
          <w:lang w:eastAsia="zh-CN"/>
        </w:rPr>
        <w:t>《规范》相关规定，</w:t>
      </w:r>
      <w:r>
        <w:rPr>
          <w:rFonts w:hint="eastAsia"/>
          <w:spacing w:val="4"/>
          <w:w w:val="100"/>
          <w:highlight w:val="none"/>
          <w:lang w:val="en-US" w:eastAsia="zh-CN"/>
        </w:rPr>
        <w:t>并</w:t>
      </w:r>
      <w:r>
        <w:rPr>
          <w:rFonts w:hint="eastAsia"/>
          <w:spacing w:val="4"/>
          <w:w w:val="100"/>
          <w:highlight w:val="none"/>
          <w:lang w:eastAsia="zh-CN"/>
        </w:rPr>
        <w:t>报请</w:t>
      </w:r>
      <w:r>
        <w:rPr>
          <w:rFonts w:hint="eastAsia"/>
          <w:spacing w:val="4"/>
          <w:w w:val="100"/>
          <w:highlight w:val="none"/>
          <w:lang w:val="en-US" w:eastAsia="zh-CN"/>
        </w:rPr>
        <w:t>区</w:t>
      </w:r>
      <w:r>
        <w:rPr>
          <w:rFonts w:hint="eastAsia"/>
          <w:spacing w:val="4"/>
          <w:w w:val="100"/>
          <w:highlight w:val="none"/>
          <w:lang w:eastAsia="zh-CN"/>
        </w:rPr>
        <w:t>政府</w:t>
      </w:r>
      <w:r>
        <w:rPr>
          <w:rFonts w:hint="eastAsia" w:ascii="仿宋_GB2312" w:eastAsia="仿宋_GB2312"/>
          <w:spacing w:val="4"/>
          <w:w w:val="100"/>
          <w:highlight w:val="none"/>
          <w:lang w:val="en-US" w:eastAsia="zh-CN"/>
        </w:rPr>
        <w:t>按</w:t>
      </w:r>
      <w:r>
        <w:rPr>
          <w:rFonts w:hint="eastAsia" w:eastAsia="仿宋_GB2312"/>
          <w:spacing w:val="4"/>
          <w:w w:val="100"/>
          <w:highlight w:val="none"/>
          <w:lang w:eastAsia="zh-CN"/>
        </w:rPr>
        <w:t>“三重一大”决策机制</w:t>
      </w:r>
      <w:r>
        <w:rPr>
          <w:rFonts w:hint="eastAsia"/>
          <w:spacing w:val="4"/>
          <w:w w:val="100"/>
          <w:highlight w:val="none"/>
          <w:lang w:eastAsia="zh-CN"/>
        </w:rPr>
        <w:t>审议通过后实施。经审定同意的实施方案，原则上不得随意变更，确需作较大变更的，应按照原流程重新报请审议同意。</w:t>
      </w:r>
    </w:p>
    <w:p w14:paraId="1C06B595">
      <w:pPr>
        <w:pStyle w:val="4"/>
        <w:keepNext w:val="0"/>
        <w:keepLines w:val="0"/>
        <w:pageBreakBefore w:val="0"/>
        <w:widowControl w:val="0"/>
        <w:numPr>
          <w:ilvl w:val="0"/>
          <w:numId w:val="2"/>
        </w:numPr>
        <w:tabs>
          <w:tab w:val="left" w:pos="4810"/>
          <w:tab w:val="clear" w:pos="0"/>
        </w:tabs>
        <w:kinsoku/>
        <w:wordWrap/>
        <w:overflowPunct/>
        <w:topLinePunct w:val="0"/>
        <w:autoSpaceDE w:val="0"/>
        <w:autoSpaceDN w:val="0"/>
        <w:bidi w:val="0"/>
        <w:adjustRightInd/>
        <w:snapToGrid/>
        <w:spacing w:line="579" w:lineRule="exact"/>
        <w:ind w:firstLine="656" w:firstLineChars="200"/>
        <w:jc w:val="both"/>
        <w:textAlignment w:val="auto"/>
        <w:outlineLvl w:val="0"/>
        <w:rPr>
          <w:rFonts w:hint="eastAsia"/>
          <w:spacing w:val="4"/>
          <w:w w:val="100"/>
          <w:highlight w:val="none"/>
          <w:lang w:eastAsia="zh-CN"/>
        </w:rPr>
      </w:pPr>
      <w:r>
        <w:rPr>
          <w:rFonts w:hint="eastAsia"/>
          <w:spacing w:val="4"/>
          <w:w w:val="100"/>
          <w:highlight w:val="none"/>
          <w:lang w:eastAsia="zh-CN"/>
        </w:rPr>
        <w:t>实施机构应根据审定同意后的实施方案，按照法律法规要求，以公开招标、邀请招标、谈判等公平竞争方式选择运营机构。招标、采购、谈判文件有关授权运营协议内容应充分征求相关数据提供</w:t>
      </w:r>
      <w:r>
        <w:rPr>
          <w:rFonts w:hint="eastAsia"/>
          <w:spacing w:val="4"/>
          <w:w w:val="100"/>
          <w:highlight w:val="none"/>
          <w:lang w:val="en-US" w:eastAsia="zh-CN"/>
        </w:rPr>
        <w:t>部门</w:t>
      </w:r>
      <w:r>
        <w:rPr>
          <w:rFonts w:hint="eastAsia"/>
          <w:spacing w:val="4"/>
          <w:w w:val="100"/>
          <w:highlight w:val="none"/>
          <w:lang w:eastAsia="zh-CN"/>
        </w:rPr>
        <w:t>、数据管理部门等各方意见。授权运营协议内容根据《规范》相关规定编制。</w:t>
      </w:r>
    </w:p>
    <w:p w14:paraId="3D74206D">
      <w:pPr>
        <w:pStyle w:val="4"/>
        <w:keepNext w:val="0"/>
        <w:keepLines w:val="0"/>
        <w:pageBreakBefore w:val="0"/>
        <w:widowControl w:val="0"/>
        <w:numPr>
          <w:ilvl w:val="-1"/>
          <w:numId w:val="0"/>
        </w:numPr>
        <w:tabs>
          <w:tab w:val="left" w:pos="4810"/>
        </w:tabs>
        <w:kinsoku/>
        <w:wordWrap/>
        <w:overflowPunct/>
        <w:topLinePunct w:val="0"/>
        <w:autoSpaceDE/>
        <w:autoSpaceDN/>
        <w:bidi w:val="0"/>
        <w:adjustRightInd/>
        <w:snapToGrid/>
        <w:spacing w:line="579" w:lineRule="exact"/>
        <w:ind w:leftChars="0" w:firstLine="656" w:firstLineChars="200"/>
        <w:jc w:val="both"/>
        <w:textAlignment w:val="auto"/>
        <w:outlineLvl w:val="0"/>
        <w:rPr>
          <w:rFonts w:hint="eastAsia"/>
          <w:spacing w:val="4"/>
          <w:w w:val="100"/>
          <w:highlight w:val="none"/>
          <w:lang w:eastAsia="zh-CN"/>
        </w:rPr>
      </w:pPr>
      <w:r>
        <w:rPr>
          <w:rFonts w:hint="eastAsia"/>
          <w:spacing w:val="4"/>
          <w:w w:val="100"/>
          <w:highlight w:val="none"/>
          <w:lang w:eastAsia="zh-CN"/>
        </w:rPr>
        <w:t>运营机构应具备数据资源加工、运营所需的管理和技术服务能力，经营状况和信用状况良好，主体信用</w:t>
      </w:r>
      <w:r>
        <w:rPr>
          <w:rFonts w:hint="eastAsia"/>
          <w:spacing w:val="4"/>
          <w:w w:val="100"/>
          <w:highlight w:val="none"/>
          <w:lang w:val="en-US" w:eastAsia="zh-CN"/>
        </w:rPr>
        <w:t>合规</w:t>
      </w:r>
      <w:r>
        <w:rPr>
          <w:rFonts w:hint="eastAsia"/>
          <w:spacing w:val="4"/>
          <w:w w:val="100"/>
          <w:highlight w:val="none"/>
          <w:lang w:eastAsia="zh-CN"/>
        </w:rPr>
        <w:t>情况符合要求，符合国家数据安全保护要求。</w:t>
      </w:r>
    </w:p>
    <w:p w14:paraId="25094048">
      <w:pPr>
        <w:pStyle w:val="4"/>
        <w:keepNext w:val="0"/>
        <w:keepLines w:val="0"/>
        <w:pageBreakBefore w:val="0"/>
        <w:widowControl w:val="0"/>
        <w:numPr>
          <w:ilvl w:val="0"/>
          <w:numId w:val="2"/>
        </w:numPr>
        <w:tabs>
          <w:tab w:val="left" w:pos="4810"/>
          <w:tab w:val="clear" w:pos="0"/>
        </w:tabs>
        <w:kinsoku/>
        <w:wordWrap/>
        <w:overflowPunct/>
        <w:topLinePunct w:val="0"/>
        <w:autoSpaceDE w:val="0"/>
        <w:autoSpaceDN w:val="0"/>
        <w:bidi w:val="0"/>
        <w:adjustRightInd/>
        <w:snapToGrid/>
        <w:spacing w:line="579" w:lineRule="exact"/>
        <w:ind w:firstLine="656" w:firstLineChars="200"/>
        <w:jc w:val="both"/>
        <w:textAlignment w:val="auto"/>
        <w:outlineLvl w:val="0"/>
        <w:rPr>
          <w:rFonts w:hint="eastAsia"/>
          <w:spacing w:val="4"/>
          <w:w w:val="100"/>
          <w:highlight w:val="none"/>
          <w:lang w:eastAsia="zh-CN"/>
        </w:rPr>
      </w:pPr>
      <w:r>
        <w:rPr>
          <w:rFonts w:hint="eastAsia"/>
          <w:spacing w:val="4"/>
          <w:w w:val="100"/>
          <w:highlight w:val="none"/>
          <w:lang w:eastAsia="zh-CN"/>
        </w:rPr>
        <w:t>实施机构</w:t>
      </w:r>
      <w:r>
        <w:rPr>
          <w:rFonts w:hint="eastAsia"/>
          <w:spacing w:val="4"/>
          <w:w w:val="100"/>
          <w:highlight w:val="none"/>
          <w:lang w:val="en-US" w:eastAsia="zh-CN"/>
        </w:rPr>
        <w:t>经</w:t>
      </w:r>
      <w:r>
        <w:rPr>
          <w:rFonts w:hint="eastAsia"/>
          <w:spacing w:val="4"/>
          <w:w w:val="100"/>
          <w:highlight w:val="none"/>
          <w:lang w:eastAsia="zh-CN"/>
        </w:rPr>
        <w:t>“三重一大”决策机制审议通过后，与依法选定的运营机构签订公共数据资源授权运营协议。</w:t>
      </w:r>
    </w:p>
    <w:p w14:paraId="24B890E9">
      <w:pPr>
        <w:pStyle w:val="4"/>
        <w:keepNext w:val="0"/>
        <w:keepLines w:val="0"/>
        <w:pageBreakBefore w:val="0"/>
        <w:widowControl w:val="0"/>
        <w:numPr>
          <w:ilvl w:val="-1"/>
          <w:numId w:val="0"/>
        </w:numPr>
        <w:tabs>
          <w:tab w:val="left" w:pos="4810"/>
        </w:tabs>
        <w:kinsoku/>
        <w:wordWrap/>
        <w:overflowPunct/>
        <w:topLinePunct w:val="0"/>
        <w:autoSpaceDE w:val="0"/>
        <w:autoSpaceDN w:val="0"/>
        <w:bidi w:val="0"/>
        <w:adjustRightInd/>
        <w:snapToGrid/>
        <w:spacing w:line="579" w:lineRule="exact"/>
        <w:ind w:leftChars="0" w:firstLine="656" w:firstLineChars="200"/>
        <w:jc w:val="both"/>
        <w:textAlignment w:val="auto"/>
        <w:outlineLvl w:val="0"/>
        <w:rPr>
          <w:rFonts w:hint="eastAsia"/>
          <w:spacing w:val="4"/>
          <w:w w:val="100"/>
          <w:highlight w:val="none"/>
          <w:lang w:eastAsia="zh-CN"/>
        </w:rPr>
      </w:pPr>
      <w:r>
        <w:rPr>
          <w:rFonts w:hint="eastAsia"/>
          <w:spacing w:val="4"/>
          <w:w w:val="100"/>
          <w:highlight w:val="none"/>
          <w:lang w:eastAsia="zh-CN"/>
        </w:rPr>
        <w:t>授权运营协议签署、变更或终止后10个工作日内，实施机构应将授权运营协议及相关变动情况报</w:t>
      </w:r>
      <w:r>
        <w:rPr>
          <w:rFonts w:hint="eastAsia"/>
          <w:spacing w:val="4"/>
          <w:w w:val="100"/>
          <w:highlight w:val="none"/>
          <w:lang w:val="en-US" w:eastAsia="zh-CN"/>
        </w:rPr>
        <w:t>区</w:t>
      </w:r>
      <w:r>
        <w:rPr>
          <w:rFonts w:hint="eastAsia"/>
          <w:spacing w:val="4"/>
          <w:w w:val="100"/>
          <w:highlight w:val="none"/>
          <w:lang w:eastAsia="zh-CN"/>
        </w:rPr>
        <w:t>数据管理部门备案，并向社会公开授权对象、内容、范围和时限等。</w:t>
      </w:r>
    </w:p>
    <w:p w14:paraId="53D62159">
      <w:pPr>
        <w:pStyle w:val="4"/>
        <w:keepNext w:val="0"/>
        <w:keepLines w:val="0"/>
        <w:pageBreakBefore w:val="0"/>
        <w:widowControl w:val="0"/>
        <w:numPr>
          <w:ilvl w:val="0"/>
          <w:numId w:val="2"/>
        </w:numPr>
        <w:tabs>
          <w:tab w:val="left" w:pos="4810"/>
          <w:tab w:val="clear" w:pos="0"/>
        </w:tabs>
        <w:kinsoku/>
        <w:wordWrap/>
        <w:overflowPunct/>
        <w:topLinePunct w:val="0"/>
        <w:autoSpaceDE w:val="0"/>
        <w:autoSpaceDN w:val="0"/>
        <w:bidi w:val="0"/>
        <w:adjustRightInd/>
        <w:snapToGrid/>
        <w:spacing w:line="579" w:lineRule="exact"/>
        <w:ind w:firstLine="656" w:firstLineChars="200"/>
        <w:jc w:val="both"/>
        <w:textAlignment w:val="auto"/>
        <w:outlineLvl w:val="0"/>
        <w:rPr>
          <w:rFonts w:hint="eastAsia"/>
          <w:spacing w:val="4"/>
          <w:w w:val="100"/>
          <w:highlight w:val="none"/>
          <w:lang w:eastAsia="zh-CN"/>
        </w:rPr>
      </w:pPr>
      <w:r>
        <w:rPr>
          <w:rFonts w:hint="eastAsia"/>
          <w:spacing w:val="4"/>
          <w:w w:val="100"/>
          <w:highlight w:val="none"/>
          <w:lang w:eastAsia="zh-CN"/>
        </w:rPr>
        <w:t>运营机构应</w:t>
      </w:r>
      <w:r>
        <w:rPr>
          <w:rFonts w:hint="eastAsia"/>
          <w:spacing w:val="4"/>
          <w:w w:val="100"/>
          <w:highlight w:val="none"/>
          <w:lang w:val="en-US" w:eastAsia="zh-CN"/>
        </w:rPr>
        <w:t>建立</w:t>
      </w:r>
      <w:r>
        <w:rPr>
          <w:rFonts w:hint="eastAsia"/>
          <w:spacing w:val="4"/>
          <w:w w:val="100"/>
          <w:highlight w:val="none"/>
          <w:lang w:eastAsia="zh-CN"/>
        </w:rPr>
        <w:t>平台合作方</w:t>
      </w:r>
      <w:r>
        <w:rPr>
          <w:rFonts w:hint="eastAsia"/>
          <w:spacing w:val="4"/>
          <w:w w:val="100"/>
          <w:highlight w:val="none"/>
          <w:lang w:val="en-US" w:eastAsia="zh-CN"/>
        </w:rPr>
        <w:t>遴选、入驻管理、退出等机制</w:t>
      </w:r>
      <w:r>
        <w:rPr>
          <w:rFonts w:hint="eastAsia"/>
          <w:spacing w:val="4"/>
          <w:w w:val="100"/>
          <w:highlight w:val="none"/>
          <w:lang w:eastAsia="zh-CN"/>
        </w:rPr>
        <w:t>，入驻及退出情况报实施机构备案。</w:t>
      </w:r>
    </w:p>
    <w:p w14:paraId="2051C197">
      <w:pPr>
        <w:pStyle w:val="4"/>
        <w:keepNext w:val="0"/>
        <w:keepLines w:val="0"/>
        <w:pageBreakBefore w:val="0"/>
        <w:widowControl w:val="0"/>
        <w:numPr>
          <w:ilvl w:val="-1"/>
          <w:numId w:val="0"/>
        </w:numPr>
        <w:tabs>
          <w:tab w:val="left" w:pos="4810"/>
        </w:tabs>
        <w:kinsoku/>
        <w:wordWrap/>
        <w:overflowPunct/>
        <w:topLinePunct w:val="0"/>
        <w:autoSpaceDE w:val="0"/>
        <w:autoSpaceDN w:val="0"/>
        <w:bidi w:val="0"/>
        <w:adjustRightInd/>
        <w:snapToGrid/>
        <w:spacing w:line="579" w:lineRule="exact"/>
        <w:ind w:left="0" w:leftChars="0" w:firstLine="656" w:firstLineChars="200"/>
        <w:jc w:val="both"/>
        <w:textAlignment w:val="auto"/>
        <w:outlineLvl w:val="0"/>
        <w:rPr>
          <w:rFonts w:hint="eastAsia"/>
          <w:spacing w:val="4"/>
          <w:w w:val="100"/>
          <w:highlight w:val="none"/>
          <w:lang w:eastAsia="zh-CN"/>
        </w:rPr>
      </w:pPr>
      <w:r>
        <w:rPr>
          <w:rFonts w:hint="eastAsia"/>
          <w:spacing w:val="4"/>
          <w:w w:val="100"/>
          <w:highlight w:val="none"/>
          <w:lang w:eastAsia="zh-CN"/>
        </w:rPr>
        <w:t>平台合作方</w:t>
      </w:r>
      <w:r>
        <w:rPr>
          <w:rFonts w:hint="eastAsia"/>
          <w:spacing w:val="4"/>
          <w:w w:val="100"/>
          <w:highlight w:val="none"/>
          <w:lang w:val="en-US" w:eastAsia="zh-CN"/>
        </w:rPr>
        <w:t>应</w:t>
      </w:r>
      <w:r>
        <w:rPr>
          <w:rFonts w:hint="eastAsia"/>
          <w:spacing w:val="4"/>
          <w:w w:val="100"/>
          <w:highlight w:val="none"/>
          <w:lang w:eastAsia="zh-CN"/>
        </w:rPr>
        <w:t>符合以下条件：</w:t>
      </w:r>
    </w:p>
    <w:p w14:paraId="081C33F2">
      <w:pPr>
        <w:pStyle w:val="4"/>
        <w:keepNext w:val="0"/>
        <w:keepLines w:val="0"/>
        <w:pageBreakBefore w:val="0"/>
        <w:widowControl w:val="0"/>
        <w:kinsoku/>
        <w:wordWrap/>
        <w:overflowPunct/>
        <w:topLinePunct w:val="0"/>
        <w:autoSpaceDE w:val="0"/>
        <w:autoSpaceDN w:val="0"/>
        <w:bidi w:val="0"/>
        <w:adjustRightInd/>
        <w:snapToGrid/>
        <w:spacing w:line="579" w:lineRule="exact"/>
        <w:ind w:left="0" w:firstLine="656" w:firstLineChars="200"/>
        <w:jc w:val="both"/>
        <w:textAlignment w:val="auto"/>
        <w:rPr>
          <w:rFonts w:hint="eastAsia"/>
          <w:spacing w:val="4"/>
          <w:w w:val="100"/>
          <w:highlight w:val="none"/>
          <w:lang w:eastAsia="zh-CN"/>
        </w:rPr>
      </w:pPr>
      <w:r>
        <w:rPr>
          <w:rFonts w:hint="eastAsia"/>
          <w:spacing w:val="4"/>
          <w:w w:val="100"/>
          <w:highlight w:val="none"/>
          <w:lang w:eastAsia="zh-CN"/>
        </w:rPr>
        <w:t>（一）单位及其法定代表人无重大违法及失信记录；</w:t>
      </w:r>
    </w:p>
    <w:p w14:paraId="2BB019A4">
      <w:pPr>
        <w:pStyle w:val="4"/>
        <w:keepNext w:val="0"/>
        <w:keepLines w:val="0"/>
        <w:pageBreakBefore w:val="0"/>
        <w:widowControl w:val="0"/>
        <w:kinsoku/>
        <w:wordWrap/>
        <w:overflowPunct/>
        <w:topLinePunct w:val="0"/>
        <w:autoSpaceDE w:val="0"/>
        <w:autoSpaceDN w:val="0"/>
        <w:bidi w:val="0"/>
        <w:adjustRightInd/>
        <w:snapToGrid/>
        <w:spacing w:line="579" w:lineRule="exact"/>
        <w:ind w:left="0" w:firstLine="656" w:firstLineChars="200"/>
        <w:jc w:val="both"/>
        <w:textAlignment w:val="auto"/>
        <w:rPr>
          <w:rFonts w:hint="default"/>
          <w:spacing w:val="4"/>
          <w:w w:val="100"/>
          <w:highlight w:val="none"/>
          <w:lang w:val="en-US" w:eastAsia="zh-CN"/>
        </w:rPr>
      </w:pPr>
      <w:r>
        <w:rPr>
          <w:rFonts w:hint="eastAsia"/>
          <w:spacing w:val="4"/>
          <w:w w:val="100"/>
          <w:highlight w:val="none"/>
          <w:lang w:val="en-US" w:eastAsia="zh-CN"/>
        </w:rPr>
        <w:t>（二）具备健全的数据合规与安全管理体系，明确数据安全负责人，建立合规与安全</w:t>
      </w:r>
      <w:r>
        <w:rPr>
          <w:rFonts w:hint="eastAsia"/>
          <w:spacing w:val="4"/>
          <w:w w:val="100"/>
          <w:highlight w:val="none"/>
          <w:lang w:eastAsia="zh-CN"/>
        </w:rPr>
        <w:t>保障制度；</w:t>
      </w:r>
    </w:p>
    <w:p w14:paraId="708D47C0">
      <w:pPr>
        <w:pStyle w:val="4"/>
        <w:keepNext w:val="0"/>
        <w:keepLines w:val="0"/>
        <w:pageBreakBefore w:val="0"/>
        <w:widowControl w:val="0"/>
        <w:kinsoku/>
        <w:wordWrap/>
        <w:overflowPunct/>
        <w:topLinePunct w:val="0"/>
        <w:autoSpaceDE w:val="0"/>
        <w:autoSpaceDN w:val="0"/>
        <w:bidi w:val="0"/>
        <w:adjustRightInd/>
        <w:snapToGrid/>
        <w:spacing w:line="579" w:lineRule="exact"/>
        <w:ind w:left="0" w:firstLine="656" w:firstLineChars="200"/>
        <w:jc w:val="both"/>
        <w:textAlignment w:val="auto"/>
        <w:rPr>
          <w:rFonts w:hint="eastAsia"/>
          <w:spacing w:val="4"/>
          <w:w w:val="100"/>
          <w:highlight w:val="none"/>
          <w:lang w:eastAsia="zh-CN"/>
        </w:rPr>
      </w:pPr>
      <w:r>
        <w:rPr>
          <w:rFonts w:hint="eastAsia"/>
          <w:spacing w:val="4"/>
          <w:w w:val="100"/>
          <w:highlight w:val="none"/>
          <w:lang w:eastAsia="zh-CN"/>
        </w:rPr>
        <w:t>（三）</w:t>
      </w:r>
      <w:r>
        <w:rPr>
          <w:rFonts w:hint="eastAsia"/>
          <w:spacing w:val="4"/>
          <w:w w:val="100"/>
          <w:highlight w:val="none"/>
          <w:lang w:val="en-US" w:eastAsia="zh-CN"/>
        </w:rPr>
        <w:t>具备安全事件响应、处置与上报能力，符合国家数据安全保护要求</w:t>
      </w:r>
      <w:r>
        <w:rPr>
          <w:rFonts w:hint="eastAsia"/>
          <w:spacing w:val="4"/>
          <w:w w:val="100"/>
          <w:highlight w:val="none"/>
          <w:lang w:eastAsia="zh-CN"/>
        </w:rPr>
        <w:t>；</w:t>
      </w:r>
    </w:p>
    <w:p w14:paraId="620224E5">
      <w:pPr>
        <w:pStyle w:val="4"/>
        <w:keepNext w:val="0"/>
        <w:keepLines w:val="0"/>
        <w:pageBreakBefore w:val="0"/>
        <w:widowControl w:val="0"/>
        <w:numPr>
          <w:ilvl w:val="-1"/>
          <w:numId w:val="0"/>
        </w:numPr>
        <w:kinsoku/>
        <w:wordWrap/>
        <w:overflowPunct/>
        <w:topLinePunct w:val="0"/>
        <w:autoSpaceDE/>
        <w:autoSpaceDN/>
        <w:bidi w:val="0"/>
        <w:adjustRightInd/>
        <w:snapToGrid/>
        <w:spacing w:line="579" w:lineRule="exact"/>
        <w:ind w:firstLine="656" w:firstLineChars="200"/>
        <w:jc w:val="both"/>
        <w:textAlignment w:val="auto"/>
        <w:outlineLvl w:val="9"/>
        <w:rPr>
          <w:rFonts w:hint="eastAsia"/>
          <w:spacing w:val="4"/>
          <w:w w:val="100"/>
          <w:highlight w:val="none"/>
          <w:lang w:eastAsia="zh-CN"/>
        </w:rPr>
      </w:pPr>
      <w:r>
        <w:rPr>
          <w:rFonts w:hint="eastAsia"/>
          <w:spacing w:val="4"/>
          <w:w w:val="100"/>
          <w:highlight w:val="none"/>
          <w:lang w:eastAsia="zh-CN"/>
        </w:rPr>
        <w:t>（</w:t>
      </w:r>
      <w:r>
        <w:rPr>
          <w:rFonts w:hint="eastAsia"/>
          <w:spacing w:val="4"/>
          <w:w w:val="100"/>
          <w:highlight w:val="none"/>
          <w:lang w:val="en-US" w:eastAsia="zh-CN"/>
        </w:rPr>
        <w:t>四</w:t>
      </w:r>
      <w:r>
        <w:rPr>
          <w:rFonts w:hint="eastAsia"/>
          <w:spacing w:val="4"/>
          <w:w w:val="100"/>
          <w:highlight w:val="none"/>
          <w:lang w:eastAsia="zh-CN"/>
        </w:rPr>
        <w:t>）具备应用场景开发经验。</w:t>
      </w:r>
    </w:p>
    <w:p w14:paraId="6CF67F7A">
      <w:pPr>
        <w:pStyle w:val="4"/>
        <w:keepNext w:val="0"/>
        <w:keepLines w:val="0"/>
        <w:pageBreakBefore w:val="0"/>
        <w:widowControl w:val="0"/>
        <w:numPr>
          <w:ilvl w:val="0"/>
          <w:numId w:val="1"/>
        </w:numPr>
        <w:kinsoku/>
        <w:wordWrap/>
        <w:overflowPunct/>
        <w:topLinePunct w:val="0"/>
        <w:autoSpaceDE w:val="0"/>
        <w:autoSpaceDN w:val="0"/>
        <w:bidi w:val="0"/>
        <w:adjustRightInd/>
        <w:snapToGrid/>
        <w:spacing w:before="300" w:beforeLines="100" w:after="300" w:afterLines="100" w:line="579" w:lineRule="exact"/>
        <w:ind w:left="0"/>
        <w:jc w:val="center"/>
        <w:textAlignment w:val="auto"/>
        <w:outlineLvl w:val="0"/>
        <w:rPr>
          <w:rFonts w:hint="eastAsia" w:ascii="黑体" w:hAnsi="黑体" w:eastAsia="黑体" w:cs="黑体"/>
          <w:w w:val="100"/>
          <w:highlight w:val="none"/>
        </w:rPr>
      </w:pPr>
      <w:r>
        <w:rPr>
          <w:rFonts w:hint="eastAsia" w:ascii="黑体" w:hAnsi="黑体" w:eastAsia="黑体" w:cs="黑体"/>
          <w:w w:val="100"/>
          <w:highlight w:val="none"/>
        </w:rPr>
        <w:t>运营</w:t>
      </w:r>
      <w:r>
        <w:rPr>
          <w:rFonts w:hint="eastAsia" w:ascii="黑体" w:hAnsi="黑体" w:eastAsia="黑体" w:cs="黑体"/>
          <w:w w:val="100"/>
          <w:highlight w:val="none"/>
          <w:lang w:val="en-US" w:eastAsia="zh-CN"/>
        </w:rPr>
        <w:t>管理</w:t>
      </w:r>
    </w:p>
    <w:p w14:paraId="08D33527">
      <w:pPr>
        <w:pStyle w:val="4"/>
        <w:keepNext w:val="0"/>
        <w:keepLines w:val="0"/>
        <w:pageBreakBefore w:val="0"/>
        <w:widowControl w:val="0"/>
        <w:numPr>
          <w:ilvl w:val="0"/>
          <w:numId w:val="2"/>
        </w:numPr>
        <w:tabs>
          <w:tab w:val="left" w:pos="4810"/>
          <w:tab w:val="clear" w:pos="0"/>
        </w:tabs>
        <w:kinsoku/>
        <w:wordWrap/>
        <w:overflowPunct/>
        <w:topLinePunct w:val="0"/>
        <w:autoSpaceDE w:val="0"/>
        <w:autoSpaceDN w:val="0"/>
        <w:bidi w:val="0"/>
        <w:adjustRightInd/>
        <w:snapToGrid/>
        <w:spacing w:line="579" w:lineRule="exact"/>
        <w:ind w:firstLine="656" w:firstLineChars="200"/>
        <w:jc w:val="left"/>
        <w:textAlignment w:val="auto"/>
        <w:outlineLvl w:val="0"/>
        <w:rPr>
          <w:rFonts w:hint="eastAsia"/>
          <w:spacing w:val="4"/>
          <w:w w:val="100"/>
          <w:highlight w:val="none"/>
          <w:lang w:eastAsia="zh-CN"/>
        </w:rPr>
      </w:pPr>
      <w:r>
        <w:rPr>
          <w:rFonts w:hint="eastAsia"/>
          <w:spacing w:val="4"/>
          <w:w w:val="100"/>
          <w:highlight w:val="none"/>
          <w:lang w:eastAsia="zh-CN"/>
        </w:rPr>
        <w:t>实施机构应建立健全管理制度，落实数据分类分级安全保护要求，</w:t>
      </w:r>
      <w:r>
        <w:rPr>
          <w:rFonts w:hint="eastAsia"/>
          <w:spacing w:val="4"/>
          <w:w w:val="100"/>
          <w:highlight w:val="none"/>
          <w:lang w:val="en-US" w:eastAsia="zh-CN"/>
        </w:rPr>
        <w:t>组织</w:t>
      </w:r>
      <w:r>
        <w:rPr>
          <w:rFonts w:hint="eastAsia"/>
          <w:highlight w:val="none"/>
        </w:rPr>
        <w:t>构建</w:t>
      </w:r>
      <w:r>
        <w:rPr>
          <w:rFonts w:hint="eastAsia"/>
          <w:highlight w:val="none"/>
          <w:lang w:val="en-US" w:eastAsia="zh-CN"/>
        </w:rPr>
        <w:t>安全</w:t>
      </w:r>
      <w:r>
        <w:rPr>
          <w:rFonts w:hint="eastAsia"/>
          <w:highlight w:val="none"/>
        </w:rPr>
        <w:t>可控的</w:t>
      </w:r>
      <w:r>
        <w:rPr>
          <w:rFonts w:hint="eastAsia"/>
          <w:highlight w:val="none"/>
          <w:lang w:val="en-US" w:eastAsia="zh-CN"/>
        </w:rPr>
        <w:t>研发测试</w:t>
      </w:r>
      <w:r>
        <w:rPr>
          <w:rFonts w:hint="eastAsia"/>
          <w:highlight w:val="none"/>
        </w:rPr>
        <w:t>数据环境，实行</w:t>
      </w:r>
      <w:r>
        <w:rPr>
          <w:rFonts w:hint="eastAsia"/>
          <w:highlight w:val="none"/>
          <w:lang w:val="en-US" w:eastAsia="zh-CN"/>
        </w:rPr>
        <w:t>原始</w:t>
      </w:r>
      <w:r>
        <w:rPr>
          <w:rFonts w:hint="eastAsia"/>
          <w:highlight w:val="none"/>
        </w:rPr>
        <w:t>数据不出域、</w:t>
      </w:r>
      <w:r>
        <w:rPr>
          <w:rFonts w:hint="eastAsia"/>
          <w:highlight w:val="none"/>
          <w:lang w:val="en-US" w:eastAsia="zh-CN"/>
        </w:rPr>
        <w:t>研发</w:t>
      </w:r>
      <w:r>
        <w:rPr>
          <w:rFonts w:hint="eastAsia"/>
          <w:highlight w:val="none"/>
        </w:rPr>
        <w:t>成果可出域的管理模式，</w:t>
      </w:r>
      <w:r>
        <w:rPr>
          <w:rFonts w:hint="eastAsia"/>
          <w:spacing w:val="4"/>
          <w:w w:val="100"/>
          <w:highlight w:val="none"/>
          <w:lang w:eastAsia="zh-CN"/>
        </w:rPr>
        <w:t>严格管控未依法依规公开的原始公共数据资源直接进入市场，强化对运营机构涉及公共数据资源授权运营的内控审计</w:t>
      </w:r>
      <w:r>
        <w:rPr>
          <w:rFonts w:hint="eastAsia"/>
          <w:highlight w:val="none"/>
        </w:rPr>
        <w:t>，防范数据泄露风险。</w:t>
      </w:r>
    </w:p>
    <w:p w14:paraId="577037C4">
      <w:pPr>
        <w:pStyle w:val="4"/>
        <w:keepNext w:val="0"/>
        <w:keepLines w:val="0"/>
        <w:pageBreakBefore w:val="0"/>
        <w:widowControl w:val="0"/>
        <w:numPr>
          <w:ilvl w:val="-1"/>
          <w:numId w:val="0"/>
        </w:numPr>
        <w:tabs>
          <w:tab w:val="left" w:pos="4810"/>
        </w:tabs>
        <w:kinsoku/>
        <w:wordWrap/>
        <w:overflowPunct/>
        <w:topLinePunct w:val="0"/>
        <w:autoSpaceDE w:val="0"/>
        <w:autoSpaceDN w:val="0"/>
        <w:bidi w:val="0"/>
        <w:adjustRightInd/>
        <w:snapToGrid/>
        <w:spacing w:line="579" w:lineRule="exact"/>
        <w:ind w:leftChars="0" w:firstLine="656" w:firstLineChars="200"/>
        <w:jc w:val="both"/>
        <w:textAlignment w:val="auto"/>
        <w:outlineLvl w:val="0"/>
        <w:rPr>
          <w:rFonts w:hint="eastAsia"/>
          <w:spacing w:val="4"/>
          <w:w w:val="100"/>
          <w:highlight w:val="none"/>
          <w:lang w:eastAsia="zh-CN"/>
        </w:rPr>
      </w:pPr>
      <w:r>
        <w:rPr>
          <w:rFonts w:hint="eastAsia"/>
          <w:spacing w:val="4"/>
          <w:w w:val="100"/>
          <w:highlight w:val="none"/>
          <w:lang w:eastAsia="zh-CN"/>
        </w:rPr>
        <w:t xml:space="preserve">运营机构应履行数据安全主体责任，加强内控管理、技术管理和人员管理，严防数据加工、处理、运营、服务等环节数据安全风险。不得超授权范围使用公共数据资源，不得直接或间接参与授权范围内已交付的公共数据产品和服务再开发。 </w:t>
      </w:r>
    </w:p>
    <w:p w14:paraId="049C3E65">
      <w:pPr>
        <w:pStyle w:val="4"/>
        <w:keepNext w:val="0"/>
        <w:keepLines w:val="0"/>
        <w:pageBreakBefore w:val="0"/>
        <w:widowControl w:val="0"/>
        <w:numPr>
          <w:ilvl w:val="-1"/>
          <w:numId w:val="0"/>
        </w:numPr>
        <w:tabs>
          <w:tab w:val="left" w:pos="4810"/>
        </w:tabs>
        <w:kinsoku/>
        <w:wordWrap/>
        <w:overflowPunct/>
        <w:topLinePunct w:val="0"/>
        <w:autoSpaceDE w:val="0"/>
        <w:autoSpaceDN w:val="0"/>
        <w:bidi w:val="0"/>
        <w:adjustRightInd/>
        <w:snapToGrid/>
        <w:spacing w:line="579" w:lineRule="exact"/>
        <w:ind w:leftChars="0" w:firstLine="656" w:firstLineChars="200"/>
        <w:jc w:val="both"/>
        <w:textAlignment w:val="auto"/>
        <w:outlineLvl w:val="0"/>
        <w:rPr>
          <w:rFonts w:hint="eastAsia"/>
          <w:spacing w:val="4"/>
          <w:w w:val="100"/>
          <w:highlight w:val="none"/>
          <w:lang w:eastAsia="zh-CN"/>
        </w:rPr>
      </w:pPr>
      <w:r>
        <w:rPr>
          <w:rFonts w:hint="eastAsia"/>
          <w:spacing w:val="4"/>
          <w:w w:val="100"/>
          <w:highlight w:val="none"/>
          <w:lang w:eastAsia="zh-CN"/>
        </w:rPr>
        <w:t>涉及个人信息的公共数据资源，应经过匿名化处理，或者应具备个人信息处理的合法性基础，按照应用场景使用，相关授权记录应依法留存。运营机构及平台合作方等主体在申请使用涉及个人信息的公共数据资源前，均应依法进行个人信息保护影响评估，并留存评估报告。</w:t>
      </w:r>
    </w:p>
    <w:p w14:paraId="1D655E08">
      <w:pPr>
        <w:pStyle w:val="4"/>
        <w:keepNext w:val="0"/>
        <w:keepLines w:val="0"/>
        <w:pageBreakBefore w:val="0"/>
        <w:widowControl w:val="0"/>
        <w:numPr>
          <w:ilvl w:val="-1"/>
          <w:numId w:val="0"/>
        </w:numPr>
        <w:tabs>
          <w:tab w:val="left" w:pos="4810"/>
        </w:tabs>
        <w:kinsoku/>
        <w:wordWrap/>
        <w:overflowPunct/>
        <w:topLinePunct w:val="0"/>
        <w:autoSpaceDE w:val="0"/>
        <w:autoSpaceDN w:val="0"/>
        <w:bidi w:val="0"/>
        <w:adjustRightInd/>
        <w:snapToGrid/>
        <w:spacing w:line="579" w:lineRule="exact"/>
        <w:ind w:left="0" w:firstLine="656" w:firstLineChars="200"/>
        <w:jc w:val="both"/>
        <w:textAlignment w:val="auto"/>
        <w:outlineLvl w:val="0"/>
        <w:rPr>
          <w:rFonts w:hint="eastAsia"/>
          <w:spacing w:val="4"/>
          <w:w w:val="100"/>
          <w:highlight w:val="none"/>
          <w:lang w:eastAsia="zh-CN"/>
        </w:rPr>
      </w:pPr>
      <w:r>
        <w:rPr>
          <w:rFonts w:hint="eastAsia"/>
          <w:spacing w:val="4"/>
          <w:w w:val="100"/>
          <w:highlight w:val="none"/>
          <w:lang w:eastAsia="zh-CN"/>
        </w:rPr>
        <w:t>鼓励其他经营主体对运营机构交付的公共数据产品和服务再开发，提升数据产品和服务价值，繁荣数据产业发展生态。</w:t>
      </w:r>
    </w:p>
    <w:p w14:paraId="79EC5CD0">
      <w:pPr>
        <w:pStyle w:val="4"/>
        <w:keepNext w:val="0"/>
        <w:keepLines w:val="0"/>
        <w:pageBreakBefore w:val="0"/>
        <w:widowControl w:val="0"/>
        <w:numPr>
          <w:ilvl w:val="0"/>
          <w:numId w:val="2"/>
        </w:numPr>
        <w:tabs>
          <w:tab w:val="left" w:pos="4810"/>
          <w:tab w:val="clear" w:pos="0"/>
        </w:tabs>
        <w:kinsoku/>
        <w:wordWrap/>
        <w:overflowPunct/>
        <w:topLinePunct w:val="0"/>
        <w:autoSpaceDE w:val="0"/>
        <w:autoSpaceDN w:val="0"/>
        <w:bidi w:val="0"/>
        <w:adjustRightInd/>
        <w:snapToGrid/>
        <w:spacing w:line="579" w:lineRule="exact"/>
        <w:ind w:left="0" w:firstLine="656" w:firstLineChars="200"/>
        <w:jc w:val="both"/>
        <w:textAlignment w:val="auto"/>
        <w:outlineLvl w:val="0"/>
        <w:rPr>
          <w:rFonts w:hint="default"/>
          <w:spacing w:val="4"/>
          <w:w w:val="100"/>
          <w:highlight w:val="none"/>
          <w:lang w:val="en-US" w:eastAsia="zh-CN"/>
        </w:rPr>
      </w:pPr>
      <w:r>
        <w:rPr>
          <w:rFonts w:hint="eastAsia"/>
          <w:spacing w:val="4"/>
          <w:w w:val="100"/>
          <w:highlight w:val="none"/>
          <w:lang w:val="en-US" w:eastAsia="zh-CN"/>
        </w:rPr>
        <w:t>运营机构应在</w:t>
      </w:r>
      <w:r>
        <w:rPr>
          <w:rFonts w:hint="eastAsia"/>
          <w:spacing w:val="4"/>
          <w:w w:val="100"/>
          <w:highlight w:val="none"/>
          <w:lang w:eastAsia="zh-CN"/>
        </w:rPr>
        <w:t>公共数据产品和服务上线前提供合规</w:t>
      </w:r>
      <w:r>
        <w:rPr>
          <w:rFonts w:hint="eastAsia"/>
          <w:spacing w:val="4"/>
          <w:w w:val="100"/>
          <w:highlight w:val="none"/>
          <w:lang w:val="en-US" w:eastAsia="zh-CN"/>
        </w:rPr>
        <w:t>与安全</w:t>
      </w:r>
      <w:r>
        <w:rPr>
          <w:rFonts w:hint="eastAsia"/>
          <w:spacing w:val="4"/>
          <w:w w:val="100"/>
          <w:highlight w:val="none"/>
          <w:lang w:eastAsia="zh-CN"/>
        </w:rPr>
        <w:t>评估报告，经实施机构审核通过后方可上线。实施机构可自行或委托第三方</w:t>
      </w:r>
      <w:r>
        <w:rPr>
          <w:rFonts w:hint="eastAsia"/>
          <w:spacing w:val="4"/>
          <w:w w:val="100"/>
          <w:highlight w:val="none"/>
          <w:lang w:val="en-US" w:eastAsia="zh-CN"/>
        </w:rPr>
        <w:t>开展合规与安全评估。</w:t>
      </w:r>
    </w:p>
    <w:p w14:paraId="321A2AEA">
      <w:pPr>
        <w:pStyle w:val="4"/>
        <w:keepNext w:val="0"/>
        <w:keepLines w:val="0"/>
        <w:pageBreakBefore w:val="0"/>
        <w:widowControl w:val="0"/>
        <w:numPr>
          <w:ilvl w:val="0"/>
          <w:numId w:val="2"/>
        </w:numPr>
        <w:tabs>
          <w:tab w:val="left" w:pos="4810"/>
          <w:tab w:val="clear" w:pos="0"/>
        </w:tabs>
        <w:kinsoku/>
        <w:wordWrap/>
        <w:overflowPunct/>
        <w:topLinePunct w:val="0"/>
        <w:autoSpaceDE w:val="0"/>
        <w:autoSpaceDN w:val="0"/>
        <w:bidi w:val="0"/>
        <w:adjustRightInd/>
        <w:snapToGrid/>
        <w:spacing w:line="579" w:lineRule="exact"/>
        <w:ind w:firstLine="656" w:firstLineChars="200"/>
        <w:jc w:val="both"/>
        <w:textAlignment w:val="auto"/>
        <w:outlineLvl w:val="0"/>
        <w:rPr>
          <w:rFonts w:hint="eastAsia"/>
          <w:spacing w:val="4"/>
          <w:w w:val="100"/>
          <w:highlight w:val="none"/>
          <w:lang w:eastAsia="zh-CN"/>
        </w:rPr>
      </w:pPr>
      <w:r>
        <w:rPr>
          <w:rFonts w:hint="eastAsia"/>
          <w:spacing w:val="4"/>
          <w:w w:val="100"/>
          <w:highlight w:val="none"/>
          <w:lang w:eastAsia="zh-CN"/>
        </w:rPr>
        <w:t>运营机构应按照国家、省公共数据资源登记管理制度要求，对评估审核通过的公共数据产品和服务进行登记。</w:t>
      </w:r>
    </w:p>
    <w:p w14:paraId="7C46F2EA">
      <w:pPr>
        <w:pStyle w:val="4"/>
        <w:keepNext w:val="0"/>
        <w:keepLines w:val="0"/>
        <w:pageBreakBefore w:val="0"/>
        <w:widowControl w:val="0"/>
        <w:numPr>
          <w:ilvl w:val="-1"/>
          <w:numId w:val="0"/>
        </w:numPr>
        <w:tabs>
          <w:tab w:val="left" w:pos="4810"/>
        </w:tabs>
        <w:kinsoku/>
        <w:wordWrap/>
        <w:overflowPunct/>
        <w:topLinePunct w:val="0"/>
        <w:autoSpaceDE w:val="0"/>
        <w:autoSpaceDN w:val="0"/>
        <w:bidi w:val="0"/>
        <w:adjustRightInd/>
        <w:snapToGrid/>
        <w:spacing w:line="579" w:lineRule="exact"/>
        <w:ind w:leftChars="0" w:firstLine="656" w:firstLineChars="200"/>
        <w:jc w:val="both"/>
        <w:textAlignment w:val="auto"/>
        <w:outlineLvl w:val="0"/>
        <w:rPr>
          <w:rFonts w:hint="eastAsia"/>
          <w:spacing w:val="4"/>
          <w:w w:val="100"/>
          <w:highlight w:val="none"/>
          <w:lang w:eastAsia="zh-CN"/>
        </w:rPr>
      </w:pPr>
      <w:r>
        <w:rPr>
          <w:rFonts w:hint="eastAsia"/>
          <w:spacing w:val="4"/>
          <w:w w:val="100"/>
          <w:highlight w:val="none"/>
          <w:lang w:eastAsia="zh-CN"/>
        </w:rPr>
        <w:t>公共数据产品和服务应与已登记的公共数据资源信息进行关联记载。</w:t>
      </w:r>
    </w:p>
    <w:p w14:paraId="218F3776">
      <w:pPr>
        <w:pStyle w:val="4"/>
        <w:keepNext w:val="0"/>
        <w:keepLines w:val="0"/>
        <w:pageBreakBefore w:val="0"/>
        <w:widowControl w:val="0"/>
        <w:numPr>
          <w:ilvl w:val="0"/>
          <w:numId w:val="2"/>
        </w:numPr>
        <w:tabs>
          <w:tab w:val="left" w:pos="4810"/>
          <w:tab w:val="clear" w:pos="0"/>
        </w:tabs>
        <w:kinsoku/>
        <w:wordWrap/>
        <w:overflowPunct/>
        <w:topLinePunct w:val="0"/>
        <w:autoSpaceDE w:val="0"/>
        <w:autoSpaceDN w:val="0"/>
        <w:bidi w:val="0"/>
        <w:adjustRightInd/>
        <w:snapToGrid/>
        <w:spacing w:line="579" w:lineRule="exact"/>
        <w:ind w:firstLine="656" w:firstLineChars="200"/>
        <w:jc w:val="both"/>
        <w:textAlignment w:val="auto"/>
        <w:outlineLvl w:val="0"/>
        <w:rPr>
          <w:rFonts w:hint="eastAsia"/>
          <w:spacing w:val="4"/>
          <w:w w:val="100"/>
          <w:highlight w:val="none"/>
          <w:lang w:eastAsia="zh-CN"/>
        </w:rPr>
      </w:pPr>
      <w:r>
        <w:rPr>
          <w:rFonts w:hint="eastAsia"/>
          <w:spacing w:val="4"/>
          <w:w w:val="100"/>
          <w:highlight w:val="none"/>
          <w:lang w:eastAsia="zh-CN"/>
        </w:rPr>
        <w:t>授权运营形成的数据产品和服务流通交易应在依法设立的数据交易场所进行，数据交易场所应将交易主体信用合规</w:t>
      </w:r>
      <w:r>
        <w:rPr>
          <w:rFonts w:hint="eastAsia"/>
          <w:spacing w:val="4"/>
          <w:w w:val="100"/>
          <w:highlight w:val="none"/>
          <w:lang w:val="en-US" w:eastAsia="zh-CN"/>
        </w:rPr>
        <w:t>情况</w:t>
      </w:r>
      <w:r>
        <w:rPr>
          <w:rFonts w:hint="eastAsia"/>
          <w:spacing w:val="4"/>
          <w:w w:val="100"/>
          <w:highlight w:val="none"/>
          <w:lang w:eastAsia="zh-CN"/>
        </w:rPr>
        <w:t>纳入交易信息公示范围。</w:t>
      </w:r>
    </w:p>
    <w:p w14:paraId="0AD44ACE">
      <w:pPr>
        <w:pStyle w:val="4"/>
        <w:keepNext w:val="0"/>
        <w:keepLines w:val="0"/>
        <w:pageBreakBefore w:val="0"/>
        <w:widowControl w:val="0"/>
        <w:numPr>
          <w:ilvl w:val="0"/>
          <w:numId w:val="2"/>
        </w:numPr>
        <w:tabs>
          <w:tab w:val="left" w:pos="4810"/>
          <w:tab w:val="clear" w:pos="0"/>
        </w:tabs>
        <w:kinsoku/>
        <w:wordWrap/>
        <w:overflowPunct/>
        <w:topLinePunct w:val="0"/>
        <w:autoSpaceDE w:val="0"/>
        <w:autoSpaceDN w:val="0"/>
        <w:bidi w:val="0"/>
        <w:adjustRightInd/>
        <w:snapToGrid/>
        <w:spacing w:line="579" w:lineRule="exact"/>
        <w:ind w:left="0" w:firstLine="656" w:firstLineChars="200"/>
        <w:jc w:val="both"/>
        <w:textAlignment w:val="auto"/>
        <w:outlineLvl w:val="0"/>
        <w:rPr>
          <w:rFonts w:hint="eastAsia"/>
          <w:spacing w:val="4"/>
          <w:w w:val="100"/>
          <w:highlight w:val="none"/>
          <w:lang w:eastAsia="zh-CN"/>
        </w:rPr>
      </w:pPr>
      <w:r>
        <w:rPr>
          <w:rFonts w:hint="eastAsia"/>
          <w:spacing w:val="4"/>
          <w:w w:val="100"/>
          <w:highlight w:val="none"/>
          <w:lang w:eastAsia="zh-CN"/>
        </w:rPr>
        <w:t>运营机构提供的公共数据产品和服务，用于公共治理、公益事业的，经实施机构审核通过后免费提供，并接受实施机构的监督；用于产业发展、行业发展的，可收取公共数据运营服务费，运营服务费实行政府指导价管理。运营机构在</w:t>
      </w:r>
      <w:r>
        <w:rPr>
          <w:rFonts w:hint="eastAsia"/>
          <w:spacing w:val="4"/>
          <w:w w:val="100"/>
          <w:highlight w:val="none"/>
          <w:lang w:val="en-US" w:eastAsia="zh-CN"/>
        </w:rPr>
        <w:t>不高于</w:t>
      </w:r>
      <w:r>
        <w:rPr>
          <w:rFonts w:hint="eastAsia"/>
          <w:spacing w:val="4"/>
          <w:w w:val="100"/>
          <w:highlight w:val="none"/>
          <w:lang w:eastAsia="zh-CN"/>
        </w:rPr>
        <w:t>上限收费标准范围内，确定具体收费标准。</w:t>
      </w:r>
    </w:p>
    <w:p w14:paraId="50F1A40A">
      <w:pPr>
        <w:pStyle w:val="4"/>
        <w:keepNext w:val="0"/>
        <w:keepLines w:val="0"/>
        <w:widowControl w:val="0"/>
        <w:numPr>
          <w:ilvl w:val="0"/>
          <w:numId w:val="2"/>
        </w:numPr>
        <w:suppressLineNumbers w:val="0"/>
        <w:tabs>
          <w:tab w:val="left" w:pos="4810"/>
          <w:tab w:val="clear" w:pos="0"/>
        </w:tabs>
        <w:spacing w:line="579" w:lineRule="exact"/>
        <w:ind w:firstLine="656" w:firstLineChars="200"/>
        <w:jc w:val="both"/>
        <w:outlineLvl w:val="0"/>
      </w:pPr>
      <w:r>
        <w:rPr>
          <w:rFonts w:hint="eastAsia"/>
          <w:spacing w:val="4"/>
          <w:w w:val="100"/>
          <w:highlight w:val="none"/>
          <w:lang w:eastAsia="zh-CN"/>
        </w:rPr>
        <w:t>授权运营应保护各参与方的合法权益。建立</w:t>
      </w:r>
      <w:r>
        <w:rPr>
          <w:rFonts w:hint="eastAsia"/>
          <w:spacing w:val="4"/>
          <w:w w:val="100"/>
          <w:highlight w:val="none"/>
          <w:lang w:val="en-US" w:eastAsia="zh-CN"/>
        </w:rPr>
        <w:t>授权运营</w:t>
      </w:r>
      <w:r>
        <w:rPr>
          <w:rFonts w:hint="eastAsia"/>
          <w:spacing w:val="4"/>
          <w:w w:val="100"/>
          <w:highlight w:val="none"/>
          <w:lang w:eastAsia="zh-CN"/>
        </w:rPr>
        <w:t>收益</w:t>
      </w:r>
      <w:r>
        <w:rPr>
          <w:rFonts w:hint="eastAsia"/>
          <w:spacing w:val="4"/>
          <w:w w:val="100"/>
          <w:highlight w:val="none"/>
          <w:lang w:val="en-US" w:eastAsia="zh-CN"/>
        </w:rPr>
        <w:t>分配</w:t>
      </w:r>
      <w:r>
        <w:rPr>
          <w:rFonts w:hint="eastAsia"/>
          <w:spacing w:val="4"/>
          <w:w w:val="100"/>
          <w:highlight w:val="none"/>
          <w:lang w:eastAsia="zh-CN"/>
        </w:rPr>
        <w:t>机制，按照“谁投入、谁贡献、谁受益”原则，在</w:t>
      </w:r>
      <w:r>
        <w:rPr>
          <w:rFonts w:hint="eastAsia"/>
          <w:spacing w:val="4"/>
          <w:w w:val="100"/>
          <w:highlight w:val="none"/>
          <w:lang w:val="en-US" w:eastAsia="zh-CN"/>
        </w:rPr>
        <w:t>相关</w:t>
      </w:r>
      <w:r>
        <w:rPr>
          <w:rFonts w:hint="eastAsia"/>
          <w:spacing w:val="4"/>
          <w:w w:val="100"/>
          <w:highlight w:val="none"/>
          <w:lang w:eastAsia="zh-CN"/>
        </w:rPr>
        <w:t>主体之间合理分配。</w:t>
      </w:r>
      <w:r>
        <w:rPr>
          <w:rFonts w:ascii="FZShuSong-Z01" w:hAnsi="FZShuSong-Z01" w:eastAsia="FZShuSong-Z01" w:cs="FZShuSong-Z01"/>
          <w:color w:val="000000"/>
          <w:kern w:val="0"/>
          <w:sz w:val="24"/>
          <w:szCs w:val="24"/>
          <w:lang w:val="en-US" w:eastAsia="zh-CN" w:bidi="ar"/>
        </w:rPr>
        <w:t xml:space="preserve"> </w:t>
      </w:r>
    </w:p>
    <w:p w14:paraId="384FE8EC">
      <w:pPr>
        <w:keepNext w:val="0"/>
        <w:keepLines w:val="0"/>
        <w:pageBreakBefore w:val="0"/>
        <w:widowControl w:val="0"/>
        <w:kinsoku/>
        <w:wordWrap/>
        <w:overflowPunct/>
        <w:topLinePunct w:val="0"/>
        <w:autoSpaceDE w:val="0"/>
        <w:autoSpaceDN w:val="0"/>
        <w:bidi w:val="0"/>
        <w:adjustRightInd/>
        <w:snapToGrid/>
        <w:spacing w:line="579" w:lineRule="exact"/>
        <w:ind w:left="0" w:leftChars="0" w:firstLine="656" w:firstLineChars="200"/>
        <w:jc w:val="left"/>
        <w:textAlignment w:val="auto"/>
        <w:outlineLvl w:val="0"/>
        <w:rPr>
          <w:rFonts w:hint="eastAsia"/>
          <w:spacing w:val="4"/>
          <w:w w:val="100"/>
          <w:highlight w:val="none"/>
          <w:lang w:eastAsia="zh-CN"/>
        </w:rPr>
      </w:pPr>
      <w:r>
        <w:rPr>
          <w:rFonts w:hint="eastAsia" w:cs="仿宋_GB2312"/>
          <w:spacing w:val="4"/>
          <w:w w:val="100"/>
          <w:kern w:val="0"/>
          <w:sz w:val="32"/>
          <w:szCs w:val="32"/>
          <w:highlight w:val="none"/>
          <w:lang w:val="en-US" w:eastAsia="zh-CN" w:bidi="ar-SA"/>
        </w:rPr>
        <w:t>区</w:t>
      </w:r>
      <w:r>
        <w:rPr>
          <w:rFonts w:hint="eastAsia" w:ascii="仿宋_GB2312" w:hAnsi="仿宋_GB2312" w:eastAsia="仿宋_GB2312" w:cs="仿宋_GB2312"/>
          <w:color w:val="000000"/>
          <w:spacing w:val="4"/>
          <w:w w:val="100"/>
          <w:kern w:val="0"/>
          <w:sz w:val="32"/>
          <w:szCs w:val="32"/>
          <w:highlight w:val="none"/>
          <w:lang w:val="en-US" w:eastAsia="zh-CN" w:bidi="ar-SA"/>
        </w:rPr>
        <w:t xml:space="preserve">数据管理部门组织探索建立公共数据资源使用溯源机制，为建立健全授权运营收益分配机制提供支撑。 </w:t>
      </w:r>
    </w:p>
    <w:p w14:paraId="6C709815">
      <w:pPr>
        <w:pStyle w:val="4"/>
        <w:keepNext w:val="0"/>
        <w:keepLines w:val="0"/>
        <w:pageBreakBefore w:val="0"/>
        <w:widowControl w:val="0"/>
        <w:numPr>
          <w:ilvl w:val="0"/>
          <w:numId w:val="2"/>
        </w:numPr>
        <w:tabs>
          <w:tab w:val="left" w:pos="4810"/>
          <w:tab w:val="clear" w:pos="0"/>
        </w:tabs>
        <w:kinsoku/>
        <w:wordWrap/>
        <w:overflowPunct/>
        <w:topLinePunct w:val="0"/>
        <w:autoSpaceDE w:val="0"/>
        <w:autoSpaceDN w:val="0"/>
        <w:bidi w:val="0"/>
        <w:adjustRightInd/>
        <w:snapToGrid/>
        <w:spacing w:line="579" w:lineRule="exact"/>
        <w:ind w:left="0" w:leftChars="0" w:firstLine="656" w:firstLineChars="200"/>
        <w:jc w:val="both"/>
        <w:textAlignment w:val="auto"/>
        <w:outlineLvl w:val="0"/>
        <w:rPr>
          <w:rFonts w:hint="eastAsia"/>
          <w:spacing w:val="4"/>
          <w:w w:val="100"/>
          <w:highlight w:val="none"/>
          <w:lang w:eastAsia="zh-CN"/>
        </w:rPr>
      </w:pPr>
      <w:bookmarkStart w:id="0" w:name="OLE_LINK2"/>
      <w:r>
        <w:rPr>
          <w:rFonts w:hint="eastAsia"/>
          <w:spacing w:val="4"/>
          <w:w w:val="100"/>
          <w:highlight w:val="none"/>
          <w:lang w:eastAsia="zh-CN"/>
        </w:rPr>
        <w:t>鼓励实施机构、运营机构、</w:t>
      </w:r>
      <w:r>
        <w:rPr>
          <w:rFonts w:hint="eastAsia"/>
          <w:spacing w:val="4"/>
          <w:w w:val="100"/>
          <w:highlight w:val="none"/>
          <w:lang w:val="en-US" w:eastAsia="zh-CN"/>
        </w:rPr>
        <w:t>平台合作方等参与方</w:t>
      </w:r>
      <w:bookmarkEnd w:id="0"/>
      <w:r>
        <w:rPr>
          <w:rFonts w:hint="eastAsia"/>
          <w:spacing w:val="4"/>
          <w:w w:val="100"/>
          <w:highlight w:val="none"/>
          <w:lang w:eastAsia="zh-CN"/>
        </w:rPr>
        <w:t>依法合规通过技术、产品和服务、</w:t>
      </w:r>
      <w:r>
        <w:rPr>
          <w:rFonts w:hint="eastAsia"/>
          <w:spacing w:val="4"/>
          <w:w w:val="100"/>
          <w:highlight w:val="none"/>
          <w:lang w:val="en-US" w:eastAsia="zh-CN"/>
        </w:rPr>
        <w:t>收益</w:t>
      </w:r>
      <w:r>
        <w:rPr>
          <w:rFonts w:hint="eastAsia"/>
          <w:spacing w:val="4"/>
          <w:w w:val="100"/>
          <w:highlight w:val="none"/>
          <w:lang w:eastAsia="zh-CN"/>
        </w:rPr>
        <w:t>等方式，支持</w:t>
      </w:r>
      <w:r>
        <w:rPr>
          <w:rFonts w:hint="eastAsia"/>
          <w:spacing w:val="4"/>
          <w:w w:val="100"/>
          <w:highlight w:val="none"/>
          <w:lang w:val="en-US" w:eastAsia="zh-CN"/>
        </w:rPr>
        <w:t>各部门</w:t>
      </w:r>
      <w:r>
        <w:rPr>
          <w:rFonts w:hint="eastAsia"/>
          <w:spacing w:val="4"/>
          <w:w w:val="100"/>
          <w:highlight w:val="none"/>
          <w:lang w:eastAsia="zh-CN"/>
        </w:rPr>
        <w:t>数据治理和服务能力建设。</w:t>
      </w:r>
    </w:p>
    <w:p w14:paraId="70718676">
      <w:pPr>
        <w:pStyle w:val="4"/>
        <w:keepNext w:val="0"/>
        <w:keepLines w:val="0"/>
        <w:pageBreakBefore w:val="0"/>
        <w:widowControl w:val="0"/>
        <w:numPr>
          <w:ilvl w:val="0"/>
          <w:numId w:val="2"/>
        </w:numPr>
        <w:tabs>
          <w:tab w:val="left" w:pos="4810"/>
          <w:tab w:val="clear" w:pos="0"/>
        </w:tabs>
        <w:kinsoku/>
        <w:wordWrap/>
        <w:overflowPunct/>
        <w:topLinePunct w:val="0"/>
        <w:autoSpaceDE w:val="0"/>
        <w:autoSpaceDN w:val="0"/>
        <w:bidi w:val="0"/>
        <w:adjustRightInd/>
        <w:snapToGrid/>
        <w:spacing w:line="579" w:lineRule="exact"/>
        <w:ind w:left="0" w:leftChars="0" w:firstLine="656" w:firstLineChars="200"/>
        <w:jc w:val="both"/>
        <w:textAlignment w:val="auto"/>
        <w:outlineLvl w:val="0"/>
        <w:rPr>
          <w:rFonts w:hint="eastAsia"/>
          <w:spacing w:val="4"/>
          <w:w w:val="100"/>
          <w:highlight w:val="none"/>
          <w:lang w:eastAsia="zh-CN"/>
        </w:rPr>
      </w:pPr>
      <w:r>
        <w:rPr>
          <w:rFonts w:hint="eastAsia"/>
          <w:spacing w:val="4"/>
          <w:w w:val="100"/>
          <w:highlight w:val="none"/>
          <w:lang w:val="en-US" w:eastAsia="zh-CN"/>
        </w:rPr>
        <w:t>鼓励各参与方</w:t>
      </w:r>
      <w:r>
        <w:rPr>
          <w:rFonts w:hint="eastAsia"/>
          <w:spacing w:val="4"/>
          <w:w w:val="100"/>
          <w:highlight w:val="none"/>
          <w:lang w:eastAsia="zh-CN"/>
        </w:rPr>
        <w:t>利用授权</w:t>
      </w:r>
      <w:r>
        <w:rPr>
          <w:rFonts w:hint="eastAsia"/>
          <w:spacing w:val="4"/>
          <w:w w:val="100"/>
          <w:highlight w:val="none"/>
          <w:lang w:val="en-US" w:eastAsia="zh-CN"/>
        </w:rPr>
        <w:t>的</w:t>
      </w:r>
      <w:r>
        <w:rPr>
          <w:rFonts w:hint="eastAsia"/>
          <w:spacing w:val="4"/>
          <w:w w:val="100"/>
          <w:highlight w:val="none"/>
          <w:lang w:eastAsia="zh-CN"/>
        </w:rPr>
        <w:t>公共数据加工形成高质量数据集及模型服务，探索以词元计量结算的新型交易模式，培育发展词元经济。</w:t>
      </w:r>
    </w:p>
    <w:p w14:paraId="11FB7D57">
      <w:pPr>
        <w:pStyle w:val="4"/>
        <w:keepNext w:val="0"/>
        <w:keepLines w:val="0"/>
        <w:pageBreakBefore w:val="0"/>
        <w:widowControl w:val="0"/>
        <w:numPr>
          <w:ilvl w:val="0"/>
          <w:numId w:val="2"/>
        </w:numPr>
        <w:tabs>
          <w:tab w:val="left" w:pos="4810"/>
          <w:tab w:val="clear" w:pos="0"/>
        </w:tabs>
        <w:kinsoku/>
        <w:wordWrap/>
        <w:overflowPunct/>
        <w:topLinePunct w:val="0"/>
        <w:autoSpaceDE w:val="0"/>
        <w:autoSpaceDN w:val="0"/>
        <w:bidi w:val="0"/>
        <w:adjustRightInd/>
        <w:snapToGrid/>
        <w:spacing w:line="579" w:lineRule="exact"/>
        <w:ind w:left="0" w:leftChars="0" w:firstLine="656" w:firstLineChars="200"/>
        <w:jc w:val="both"/>
        <w:textAlignment w:val="auto"/>
        <w:outlineLvl w:val="0"/>
        <w:rPr>
          <w:rFonts w:hint="eastAsia"/>
          <w:spacing w:val="4"/>
          <w:w w:val="100"/>
          <w:highlight w:val="none"/>
          <w:lang w:eastAsia="zh-CN"/>
        </w:rPr>
      </w:pPr>
      <w:r>
        <w:rPr>
          <w:rFonts w:hint="eastAsia"/>
          <w:spacing w:val="4"/>
          <w:w w:val="100"/>
          <w:highlight w:val="none"/>
          <w:lang w:eastAsia="zh-CN"/>
        </w:rPr>
        <w:t>鼓励运营机构在现有制度框架内有序探索公共数据依法合规跨境流动与合作的途径和模式。</w:t>
      </w:r>
    </w:p>
    <w:p w14:paraId="535D406E">
      <w:pPr>
        <w:pStyle w:val="4"/>
        <w:keepNext w:val="0"/>
        <w:keepLines w:val="0"/>
        <w:pageBreakBefore w:val="0"/>
        <w:widowControl w:val="0"/>
        <w:numPr>
          <w:ilvl w:val="0"/>
          <w:numId w:val="2"/>
        </w:numPr>
        <w:tabs>
          <w:tab w:val="left" w:pos="4810"/>
          <w:tab w:val="clear" w:pos="0"/>
        </w:tabs>
        <w:kinsoku/>
        <w:wordWrap/>
        <w:overflowPunct/>
        <w:topLinePunct w:val="0"/>
        <w:autoSpaceDE w:val="0"/>
        <w:autoSpaceDN w:val="0"/>
        <w:bidi w:val="0"/>
        <w:adjustRightInd/>
        <w:snapToGrid/>
        <w:spacing w:line="579" w:lineRule="exact"/>
        <w:ind w:left="0" w:leftChars="0" w:firstLine="656" w:firstLineChars="200"/>
        <w:jc w:val="both"/>
        <w:textAlignment w:val="auto"/>
        <w:outlineLvl w:val="0"/>
        <w:rPr>
          <w:rFonts w:hint="eastAsia"/>
          <w:spacing w:val="4"/>
          <w:w w:val="100"/>
          <w:highlight w:val="none"/>
          <w:lang w:eastAsia="zh-CN"/>
        </w:rPr>
      </w:pPr>
      <w:r>
        <w:rPr>
          <w:rFonts w:hint="eastAsia"/>
          <w:spacing w:val="4"/>
          <w:w w:val="100"/>
          <w:highlight w:val="none"/>
          <w:lang w:eastAsia="zh-CN"/>
        </w:rPr>
        <w:t>鼓励高校、科研院所、医疗机构、企业等</w:t>
      </w:r>
      <w:r>
        <w:rPr>
          <w:rFonts w:hint="eastAsia"/>
          <w:spacing w:val="4"/>
          <w:w w:val="100"/>
          <w:highlight w:val="none"/>
          <w:lang w:val="en-US" w:eastAsia="zh-CN"/>
        </w:rPr>
        <w:t>与实施机构、运营机构共建安全可控的科研公共数据空间，</w:t>
      </w:r>
      <w:r>
        <w:rPr>
          <w:rFonts w:hint="eastAsia"/>
          <w:spacing w:val="4"/>
          <w:w w:val="100"/>
          <w:highlight w:val="none"/>
          <w:lang w:eastAsia="zh-CN"/>
        </w:rPr>
        <w:t>依托公共数据资源授权运营开展科学研究、技术研发。</w:t>
      </w:r>
    </w:p>
    <w:p w14:paraId="2C8E8585">
      <w:pPr>
        <w:pStyle w:val="4"/>
        <w:keepNext w:val="0"/>
        <w:keepLines w:val="0"/>
        <w:pageBreakBefore w:val="0"/>
        <w:widowControl w:val="0"/>
        <w:numPr>
          <w:ilvl w:val="0"/>
          <w:numId w:val="1"/>
        </w:numPr>
        <w:kinsoku/>
        <w:wordWrap/>
        <w:overflowPunct/>
        <w:topLinePunct w:val="0"/>
        <w:autoSpaceDE w:val="0"/>
        <w:autoSpaceDN w:val="0"/>
        <w:bidi w:val="0"/>
        <w:adjustRightInd/>
        <w:snapToGrid/>
        <w:spacing w:before="300" w:beforeLines="100" w:after="300" w:afterLines="100" w:line="579" w:lineRule="exact"/>
        <w:ind w:left="0"/>
        <w:jc w:val="center"/>
        <w:textAlignment w:val="auto"/>
        <w:outlineLvl w:val="0"/>
        <w:rPr>
          <w:rFonts w:hint="eastAsia" w:ascii="黑体" w:hAnsi="黑体" w:eastAsia="黑体" w:cs="黑体"/>
          <w:w w:val="100"/>
          <w:highlight w:val="none"/>
        </w:rPr>
      </w:pPr>
      <w:r>
        <w:rPr>
          <w:rFonts w:hint="eastAsia" w:ascii="黑体" w:hAnsi="黑体" w:eastAsia="黑体" w:cs="黑体"/>
          <w:w w:val="100"/>
          <w:highlight w:val="none"/>
          <w:lang w:val="en-US" w:eastAsia="zh-CN"/>
        </w:rPr>
        <w:t>监督</w:t>
      </w:r>
      <w:r>
        <w:rPr>
          <w:rFonts w:hint="eastAsia" w:ascii="黑体" w:hAnsi="黑体" w:eastAsia="黑体" w:cs="黑体"/>
          <w:w w:val="100"/>
          <w:highlight w:val="none"/>
        </w:rPr>
        <w:t>管理</w:t>
      </w:r>
    </w:p>
    <w:p w14:paraId="3C9EC537">
      <w:pPr>
        <w:pStyle w:val="4"/>
        <w:keepNext w:val="0"/>
        <w:keepLines w:val="0"/>
        <w:pageBreakBefore w:val="0"/>
        <w:widowControl w:val="0"/>
        <w:numPr>
          <w:ilvl w:val="0"/>
          <w:numId w:val="2"/>
        </w:numPr>
        <w:tabs>
          <w:tab w:val="left" w:pos="4810"/>
          <w:tab w:val="clear" w:pos="0"/>
        </w:tabs>
        <w:kinsoku/>
        <w:wordWrap/>
        <w:overflowPunct/>
        <w:topLinePunct w:val="0"/>
        <w:autoSpaceDE w:val="0"/>
        <w:autoSpaceDN w:val="0"/>
        <w:bidi w:val="0"/>
        <w:adjustRightInd/>
        <w:snapToGrid/>
        <w:spacing w:line="579" w:lineRule="exact"/>
        <w:ind w:firstLine="656" w:firstLineChars="200"/>
        <w:jc w:val="both"/>
        <w:textAlignment w:val="auto"/>
        <w:outlineLvl w:val="0"/>
        <w:rPr>
          <w:rFonts w:hint="eastAsia"/>
          <w:spacing w:val="4"/>
          <w:w w:val="100"/>
          <w:highlight w:val="none"/>
          <w:lang w:eastAsia="zh-CN"/>
        </w:rPr>
      </w:pPr>
      <w:r>
        <w:rPr>
          <w:rFonts w:hint="eastAsia"/>
          <w:spacing w:val="4"/>
          <w:w w:val="100"/>
          <w:highlight w:val="none"/>
          <w:lang w:eastAsia="zh-CN"/>
        </w:rPr>
        <w:t>区数据管理部门会同网信、公安、国安、保密、密码等部门，建立健全授权运营安全监督检查机制，加强安全合规情况监管。</w:t>
      </w:r>
    </w:p>
    <w:p w14:paraId="06BC026E">
      <w:pPr>
        <w:pStyle w:val="4"/>
        <w:keepNext w:val="0"/>
        <w:keepLines w:val="0"/>
        <w:pageBreakBefore w:val="0"/>
        <w:widowControl w:val="0"/>
        <w:numPr>
          <w:ilvl w:val="-1"/>
          <w:numId w:val="0"/>
        </w:numPr>
        <w:tabs>
          <w:tab w:val="left" w:pos="4810"/>
        </w:tabs>
        <w:kinsoku/>
        <w:wordWrap/>
        <w:overflowPunct/>
        <w:topLinePunct w:val="0"/>
        <w:autoSpaceDE w:val="0"/>
        <w:autoSpaceDN w:val="0"/>
        <w:bidi w:val="0"/>
        <w:adjustRightInd/>
        <w:snapToGrid/>
        <w:spacing w:line="579" w:lineRule="exact"/>
        <w:ind w:leftChars="0" w:firstLine="656" w:firstLineChars="200"/>
        <w:jc w:val="both"/>
        <w:textAlignment w:val="auto"/>
        <w:outlineLvl w:val="0"/>
        <w:rPr>
          <w:rFonts w:hint="eastAsia"/>
          <w:spacing w:val="4"/>
          <w:w w:val="100"/>
          <w:highlight w:val="none"/>
          <w:lang w:eastAsia="zh-CN"/>
        </w:rPr>
      </w:pPr>
      <w:r>
        <w:rPr>
          <w:rFonts w:hint="eastAsia"/>
          <w:spacing w:val="4"/>
          <w:w w:val="100"/>
          <w:highlight w:val="none"/>
          <w:lang w:eastAsia="zh-CN"/>
        </w:rPr>
        <w:t>区数据管理部门会同发展改革、财政、审计、国资、市场监管、金融等部门，完善公共数据产品和服务的市场化运营管理机制，对未遵守反垄断、反不正当竞争、消费者权益保护等法律法规的行为，依法予以处理。</w:t>
      </w:r>
    </w:p>
    <w:p w14:paraId="7C90F5B0">
      <w:pPr>
        <w:pStyle w:val="4"/>
        <w:keepNext w:val="0"/>
        <w:keepLines w:val="0"/>
        <w:pageBreakBefore w:val="0"/>
        <w:widowControl w:val="0"/>
        <w:numPr>
          <w:ilvl w:val="0"/>
          <w:numId w:val="2"/>
        </w:numPr>
        <w:tabs>
          <w:tab w:val="left" w:pos="4810"/>
          <w:tab w:val="clear" w:pos="0"/>
        </w:tabs>
        <w:kinsoku/>
        <w:wordWrap/>
        <w:overflowPunct/>
        <w:topLinePunct w:val="0"/>
        <w:autoSpaceDE w:val="0"/>
        <w:autoSpaceDN w:val="0"/>
        <w:bidi w:val="0"/>
        <w:adjustRightInd/>
        <w:snapToGrid/>
        <w:spacing w:line="579" w:lineRule="exact"/>
        <w:ind w:left="0" w:firstLine="656" w:firstLineChars="200"/>
        <w:jc w:val="both"/>
        <w:textAlignment w:val="auto"/>
        <w:outlineLvl w:val="0"/>
        <w:rPr>
          <w:rFonts w:hint="eastAsia"/>
          <w:spacing w:val="4"/>
          <w:w w:val="100"/>
          <w:highlight w:val="none"/>
          <w:lang w:eastAsia="zh-CN"/>
        </w:rPr>
      </w:pPr>
      <w:r>
        <w:rPr>
          <w:rFonts w:hint="eastAsia"/>
          <w:spacing w:val="4"/>
          <w:w w:val="100"/>
          <w:highlight w:val="none"/>
          <w:lang w:eastAsia="zh-CN"/>
        </w:rPr>
        <w:t>实施机构、运营机构、平台合作方应通过管理和技术措施，加强数据关联汇聚风险识别和管控，保障数据安全。</w:t>
      </w:r>
    </w:p>
    <w:p w14:paraId="3595354C">
      <w:pPr>
        <w:keepNext w:val="0"/>
        <w:keepLines w:val="0"/>
        <w:pageBreakBefore w:val="0"/>
        <w:widowControl w:val="0"/>
        <w:kinsoku/>
        <w:wordWrap/>
        <w:overflowPunct/>
        <w:topLinePunct w:val="0"/>
        <w:autoSpaceDE w:val="0"/>
        <w:autoSpaceDN w:val="0"/>
        <w:bidi w:val="0"/>
        <w:adjustRightInd/>
        <w:snapToGrid/>
        <w:spacing w:line="579" w:lineRule="exact"/>
        <w:ind w:left="0" w:firstLine="656" w:firstLineChars="200"/>
        <w:jc w:val="left"/>
        <w:textAlignment w:val="auto"/>
        <w:rPr>
          <w:rFonts w:hint="eastAsia"/>
          <w:spacing w:val="4"/>
          <w:w w:val="100"/>
          <w:sz w:val="32"/>
          <w:szCs w:val="32"/>
          <w:highlight w:val="none"/>
          <w:lang w:eastAsia="zh-CN"/>
        </w:rPr>
      </w:pPr>
      <w:r>
        <w:rPr>
          <w:rFonts w:hint="eastAsia" w:ascii="仿宋_GB2312" w:hAnsi="仿宋_GB2312" w:eastAsia="仿宋_GB2312" w:cs="仿宋_GB2312"/>
          <w:color w:val="000000"/>
          <w:spacing w:val="4"/>
          <w:w w:val="100"/>
          <w:kern w:val="0"/>
          <w:sz w:val="32"/>
          <w:szCs w:val="32"/>
          <w:highlight w:val="none"/>
          <w:lang w:val="en-US" w:eastAsia="zh-CN" w:bidi="ar-SA"/>
        </w:rPr>
        <w:t>运营机构违反网络安全、数据安全、个人信息保护等有关法律法规的，由网信、公安等有关部门按照职责依法予以查处，相关不良信息依法记入其信用档案。</w:t>
      </w:r>
    </w:p>
    <w:p w14:paraId="487F769D">
      <w:pPr>
        <w:pStyle w:val="4"/>
        <w:keepNext w:val="0"/>
        <w:keepLines w:val="0"/>
        <w:pageBreakBefore w:val="0"/>
        <w:widowControl w:val="0"/>
        <w:numPr>
          <w:ilvl w:val="-1"/>
          <w:numId w:val="0"/>
        </w:numPr>
        <w:tabs>
          <w:tab w:val="left" w:pos="4810"/>
        </w:tabs>
        <w:kinsoku/>
        <w:wordWrap/>
        <w:overflowPunct/>
        <w:topLinePunct w:val="0"/>
        <w:autoSpaceDE w:val="0"/>
        <w:autoSpaceDN w:val="0"/>
        <w:bidi w:val="0"/>
        <w:adjustRightInd/>
        <w:snapToGrid/>
        <w:spacing w:line="579" w:lineRule="exact"/>
        <w:ind w:left="0" w:leftChars="0" w:firstLine="656" w:firstLineChars="200"/>
        <w:jc w:val="both"/>
        <w:textAlignment w:val="auto"/>
        <w:outlineLvl w:val="0"/>
        <w:rPr>
          <w:rFonts w:hint="eastAsia"/>
          <w:spacing w:val="4"/>
          <w:w w:val="100"/>
          <w:highlight w:val="none"/>
          <w:lang w:eastAsia="zh-CN"/>
        </w:rPr>
      </w:pPr>
      <w:r>
        <w:rPr>
          <w:rFonts w:hint="eastAsia" w:ascii="仿宋_GB2312" w:eastAsia="仿宋_GB2312"/>
          <w:spacing w:val="4"/>
          <w:w w:val="100"/>
          <w:highlight w:val="none"/>
          <w:lang w:val="en-US" w:eastAsia="zh-CN"/>
        </w:rPr>
        <w:t>运营机构、平台合作方应</w:t>
      </w:r>
      <w:r>
        <w:rPr>
          <w:rFonts w:hint="eastAsia" w:eastAsia="仿宋_GB2312"/>
          <w:spacing w:val="4"/>
          <w:w w:val="100"/>
          <w:highlight w:val="none"/>
          <w:lang w:eastAsia="zh-CN"/>
        </w:rPr>
        <w:t>定期开展信用合规自评估，若发生影响信用合规状态的风险事件，应第一时间向实施机构报告。</w:t>
      </w:r>
    </w:p>
    <w:p w14:paraId="2D251ECC">
      <w:pPr>
        <w:pStyle w:val="4"/>
        <w:keepNext w:val="0"/>
        <w:keepLines w:val="0"/>
        <w:pageBreakBefore w:val="0"/>
        <w:widowControl w:val="0"/>
        <w:numPr>
          <w:ilvl w:val="0"/>
          <w:numId w:val="2"/>
        </w:numPr>
        <w:tabs>
          <w:tab w:val="left" w:pos="4810"/>
          <w:tab w:val="clear" w:pos="0"/>
        </w:tabs>
        <w:kinsoku/>
        <w:wordWrap/>
        <w:overflowPunct/>
        <w:topLinePunct w:val="0"/>
        <w:autoSpaceDE w:val="0"/>
        <w:autoSpaceDN w:val="0"/>
        <w:bidi w:val="0"/>
        <w:adjustRightInd/>
        <w:snapToGrid/>
        <w:spacing w:line="579" w:lineRule="exact"/>
        <w:ind w:firstLine="656" w:firstLineChars="200"/>
        <w:jc w:val="both"/>
        <w:textAlignment w:val="auto"/>
        <w:outlineLvl w:val="0"/>
        <w:rPr>
          <w:rFonts w:hint="eastAsia"/>
          <w:spacing w:val="4"/>
          <w:w w:val="100"/>
          <w:highlight w:val="none"/>
          <w:lang w:eastAsia="zh-CN"/>
        </w:rPr>
      </w:pPr>
      <w:r>
        <w:rPr>
          <w:rFonts w:hint="eastAsia"/>
          <w:spacing w:val="4"/>
          <w:w w:val="100"/>
          <w:highlight w:val="none"/>
          <w:lang w:eastAsia="zh-CN"/>
        </w:rPr>
        <w:t>运营机构应加强公共数据产品和服务相关的成本、收入和支出的内部管理，对公共数据产品和服务相关的财务收支按照现有财务管理制度进行管理，依法接受监督。</w:t>
      </w:r>
    </w:p>
    <w:p w14:paraId="03B5FBAC">
      <w:pPr>
        <w:pStyle w:val="4"/>
        <w:keepNext w:val="0"/>
        <w:keepLines w:val="0"/>
        <w:pageBreakBefore w:val="0"/>
        <w:widowControl w:val="0"/>
        <w:numPr>
          <w:ilvl w:val="0"/>
          <w:numId w:val="2"/>
        </w:numPr>
        <w:tabs>
          <w:tab w:val="left" w:pos="4810"/>
          <w:tab w:val="clear" w:pos="0"/>
        </w:tabs>
        <w:kinsoku/>
        <w:wordWrap/>
        <w:overflowPunct/>
        <w:topLinePunct w:val="0"/>
        <w:autoSpaceDE w:val="0"/>
        <w:autoSpaceDN w:val="0"/>
        <w:bidi w:val="0"/>
        <w:adjustRightInd/>
        <w:snapToGrid/>
        <w:spacing w:line="579" w:lineRule="exact"/>
        <w:ind w:firstLine="656" w:firstLineChars="200"/>
        <w:jc w:val="both"/>
        <w:textAlignment w:val="auto"/>
        <w:outlineLvl w:val="0"/>
        <w:rPr>
          <w:rFonts w:hint="eastAsia"/>
          <w:spacing w:val="4"/>
          <w:w w:val="100"/>
          <w:highlight w:val="none"/>
          <w:lang w:eastAsia="zh-CN"/>
        </w:rPr>
      </w:pPr>
      <w:r>
        <w:rPr>
          <w:rFonts w:hint="eastAsia"/>
          <w:spacing w:val="4"/>
          <w:w w:val="100"/>
          <w:highlight w:val="none"/>
          <w:lang w:eastAsia="zh-CN"/>
        </w:rPr>
        <w:t>区数据管理部门负责开展授权运营成效评估，</w:t>
      </w:r>
      <w:r>
        <w:rPr>
          <w:rFonts w:hint="eastAsia"/>
          <w:spacing w:val="4"/>
          <w:w w:val="100"/>
          <w:highlight w:val="none"/>
          <w:lang w:val="en-US" w:eastAsia="zh-CN"/>
        </w:rPr>
        <w:t>评估内容应包含数据提供部门的数据供给、授权运营的全流程合规、安全保障、隐私保护、风险管控、经济社会效益等。</w:t>
      </w:r>
      <w:r>
        <w:rPr>
          <w:rFonts w:hint="eastAsia"/>
          <w:spacing w:val="4"/>
          <w:w w:val="100"/>
          <w:highlight w:val="none"/>
          <w:lang w:eastAsia="zh-CN"/>
        </w:rPr>
        <w:t>评估结果作为政务信息化项目管理的重要参考。</w:t>
      </w:r>
    </w:p>
    <w:p w14:paraId="2206483F">
      <w:pPr>
        <w:pStyle w:val="4"/>
        <w:keepNext w:val="0"/>
        <w:keepLines w:val="0"/>
        <w:pageBreakBefore w:val="0"/>
        <w:widowControl w:val="0"/>
        <w:kinsoku/>
        <w:wordWrap/>
        <w:overflowPunct/>
        <w:topLinePunct w:val="0"/>
        <w:autoSpaceDE w:val="0"/>
        <w:autoSpaceDN w:val="0"/>
        <w:bidi w:val="0"/>
        <w:adjustRightInd/>
        <w:snapToGrid/>
        <w:spacing w:line="579" w:lineRule="exact"/>
        <w:ind w:left="0" w:firstLine="656" w:firstLineChars="200"/>
        <w:jc w:val="both"/>
        <w:textAlignment w:val="auto"/>
        <w:rPr>
          <w:rFonts w:hint="eastAsia"/>
          <w:spacing w:val="4"/>
          <w:w w:val="100"/>
          <w:highlight w:val="none"/>
          <w:lang w:eastAsia="zh-CN"/>
        </w:rPr>
      </w:pPr>
      <w:r>
        <w:rPr>
          <w:rFonts w:hint="eastAsia"/>
          <w:spacing w:val="4"/>
          <w:w w:val="100"/>
          <w:highlight w:val="none"/>
          <w:lang w:val="en-US" w:eastAsia="zh-CN"/>
        </w:rPr>
        <w:t>实施机构、</w:t>
      </w:r>
      <w:r>
        <w:rPr>
          <w:rFonts w:hint="eastAsia"/>
          <w:spacing w:val="4"/>
          <w:w w:val="100"/>
          <w:highlight w:val="none"/>
          <w:lang w:eastAsia="zh-CN"/>
        </w:rPr>
        <w:t>运营机构应定期开展自评估并向</w:t>
      </w:r>
      <w:r>
        <w:rPr>
          <w:rFonts w:hint="eastAsia"/>
          <w:spacing w:val="4"/>
          <w:w w:val="100"/>
          <w:highlight w:val="none"/>
          <w:lang w:val="en-US" w:eastAsia="zh-CN"/>
        </w:rPr>
        <w:t>区数据管理部门</w:t>
      </w:r>
      <w:r>
        <w:rPr>
          <w:rFonts w:hint="eastAsia"/>
          <w:spacing w:val="4"/>
          <w:w w:val="100"/>
          <w:highlight w:val="none"/>
          <w:lang w:eastAsia="zh-CN"/>
        </w:rPr>
        <w:t>上报自评估结果。</w:t>
      </w:r>
    </w:p>
    <w:p w14:paraId="05526507">
      <w:pPr>
        <w:pStyle w:val="4"/>
        <w:keepNext w:val="0"/>
        <w:keepLines w:val="0"/>
        <w:pageBreakBefore w:val="0"/>
        <w:widowControl w:val="0"/>
        <w:numPr>
          <w:ilvl w:val="0"/>
          <w:numId w:val="2"/>
        </w:numPr>
        <w:tabs>
          <w:tab w:val="left" w:pos="4810"/>
          <w:tab w:val="clear" w:pos="0"/>
        </w:tabs>
        <w:kinsoku/>
        <w:wordWrap/>
        <w:overflowPunct/>
        <w:topLinePunct w:val="0"/>
        <w:autoSpaceDE w:val="0"/>
        <w:autoSpaceDN w:val="0"/>
        <w:bidi w:val="0"/>
        <w:adjustRightInd/>
        <w:snapToGrid/>
        <w:spacing w:line="579" w:lineRule="exact"/>
        <w:ind w:firstLine="656" w:firstLineChars="200"/>
        <w:jc w:val="both"/>
        <w:textAlignment w:val="auto"/>
        <w:outlineLvl w:val="0"/>
        <w:rPr>
          <w:rFonts w:hint="eastAsia"/>
          <w:spacing w:val="4"/>
          <w:w w:val="100"/>
          <w:highlight w:val="none"/>
          <w:lang w:eastAsia="zh-CN"/>
        </w:rPr>
      </w:pPr>
      <w:r>
        <w:rPr>
          <w:rFonts w:hint="eastAsia"/>
          <w:spacing w:val="4"/>
          <w:w w:val="100"/>
          <w:highlight w:val="none"/>
          <w:lang w:eastAsia="zh-CN"/>
        </w:rPr>
        <w:t>实施机构应按照规定公开授权运营情况，定期向社会披露授权对象、内容、范围和时限等，接受社会监督。</w:t>
      </w:r>
    </w:p>
    <w:p w14:paraId="1410EE06">
      <w:pPr>
        <w:pStyle w:val="4"/>
        <w:keepNext w:val="0"/>
        <w:keepLines w:val="0"/>
        <w:pageBreakBefore w:val="0"/>
        <w:widowControl w:val="0"/>
        <w:numPr>
          <w:ilvl w:val="-1"/>
          <w:numId w:val="0"/>
        </w:numPr>
        <w:kinsoku/>
        <w:wordWrap/>
        <w:overflowPunct/>
        <w:topLinePunct w:val="0"/>
        <w:autoSpaceDE w:val="0"/>
        <w:autoSpaceDN w:val="0"/>
        <w:bidi w:val="0"/>
        <w:adjustRightInd/>
        <w:snapToGrid/>
        <w:spacing w:line="579" w:lineRule="exact"/>
        <w:ind w:left="0" w:firstLine="656" w:firstLineChars="200"/>
        <w:jc w:val="both"/>
        <w:textAlignment w:val="auto"/>
        <w:outlineLvl w:val="9"/>
        <w:rPr>
          <w:rFonts w:hint="eastAsia"/>
          <w:spacing w:val="4"/>
          <w:w w:val="100"/>
          <w:highlight w:val="none"/>
          <w:lang w:eastAsia="zh-CN"/>
        </w:rPr>
      </w:pPr>
      <w:r>
        <w:rPr>
          <w:rFonts w:hint="eastAsia"/>
          <w:spacing w:val="4"/>
          <w:w w:val="100"/>
          <w:highlight w:val="none"/>
          <w:lang w:eastAsia="zh-CN"/>
        </w:rPr>
        <w:t>运营机构应公开公共数据产品和服务清单及相关收费标准，定期向社会披露公共数据资源使用情况，接受社会监督。</w:t>
      </w:r>
    </w:p>
    <w:p w14:paraId="193B7D1E">
      <w:pPr>
        <w:pStyle w:val="4"/>
        <w:keepNext w:val="0"/>
        <w:keepLines w:val="0"/>
        <w:pageBreakBefore w:val="0"/>
        <w:widowControl w:val="0"/>
        <w:numPr>
          <w:ilvl w:val="0"/>
          <w:numId w:val="2"/>
        </w:numPr>
        <w:tabs>
          <w:tab w:val="left" w:pos="4810"/>
          <w:tab w:val="clear" w:pos="0"/>
        </w:tabs>
        <w:kinsoku/>
        <w:wordWrap/>
        <w:overflowPunct/>
        <w:topLinePunct w:val="0"/>
        <w:autoSpaceDE w:val="0"/>
        <w:autoSpaceDN w:val="0"/>
        <w:bidi w:val="0"/>
        <w:adjustRightInd/>
        <w:snapToGrid/>
        <w:spacing w:line="579" w:lineRule="exact"/>
        <w:ind w:left="0" w:firstLine="656" w:firstLineChars="200"/>
        <w:jc w:val="both"/>
        <w:textAlignment w:val="auto"/>
        <w:outlineLvl w:val="0"/>
        <w:rPr>
          <w:rFonts w:hint="eastAsia"/>
          <w:spacing w:val="4"/>
          <w:w w:val="100"/>
          <w:highlight w:val="none"/>
          <w:lang w:eastAsia="zh-CN"/>
        </w:rPr>
      </w:pPr>
      <w:r>
        <w:rPr>
          <w:rFonts w:hint="eastAsia"/>
          <w:spacing w:val="4"/>
          <w:w w:val="100"/>
          <w:highlight w:val="none"/>
          <w:lang w:eastAsia="zh-CN"/>
        </w:rPr>
        <w:t>运营机构应于每年3月底前，向实施机构提交上一年度运营报告，报告内容包含运营机构整体经营、数据资源使用、产品和服务销售、授权运营成本收入、收费标准调整及安全管理等情况。</w:t>
      </w:r>
    </w:p>
    <w:p w14:paraId="5F1E33B8">
      <w:pPr>
        <w:pStyle w:val="4"/>
        <w:keepNext w:val="0"/>
        <w:keepLines w:val="0"/>
        <w:pageBreakBefore w:val="0"/>
        <w:widowControl w:val="0"/>
        <w:numPr>
          <w:ilvl w:val="0"/>
          <w:numId w:val="2"/>
        </w:numPr>
        <w:tabs>
          <w:tab w:val="left" w:pos="4810"/>
          <w:tab w:val="clear" w:pos="0"/>
        </w:tabs>
        <w:kinsoku/>
        <w:wordWrap/>
        <w:overflowPunct/>
        <w:topLinePunct w:val="0"/>
        <w:autoSpaceDE w:val="0"/>
        <w:autoSpaceDN w:val="0"/>
        <w:bidi w:val="0"/>
        <w:adjustRightInd/>
        <w:snapToGrid/>
        <w:spacing w:line="579" w:lineRule="exact"/>
        <w:ind w:firstLine="656" w:firstLineChars="200"/>
        <w:jc w:val="both"/>
        <w:textAlignment w:val="auto"/>
        <w:outlineLvl w:val="0"/>
        <w:rPr>
          <w:rFonts w:hint="eastAsia"/>
          <w:spacing w:val="4"/>
          <w:w w:val="100"/>
          <w:highlight w:val="none"/>
          <w:lang w:eastAsia="zh-CN"/>
        </w:rPr>
      </w:pPr>
      <w:r>
        <w:rPr>
          <w:rFonts w:hint="eastAsia"/>
          <w:spacing w:val="4"/>
          <w:w w:val="100"/>
          <w:highlight w:val="none"/>
          <w:lang w:eastAsia="zh-CN"/>
        </w:rPr>
        <w:t>开展公共数据资源授权运营应</w:t>
      </w:r>
      <w:r>
        <w:rPr>
          <w:rFonts w:hint="eastAsia"/>
          <w:spacing w:val="4"/>
          <w:w w:val="100"/>
          <w:highlight w:val="none"/>
          <w:lang w:val="en-US" w:eastAsia="zh-CN"/>
        </w:rPr>
        <w:t>建立容错机制</w:t>
      </w:r>
      <w:r>
        <w:rPr>
          <w:rFonts w:hint="eastAsia"/>
          <w:spacing w:val="4"/>
          <w:w w:val="100"/>
          <w:highlight w:val="none"/>
          <w:lang w:eastAsia="zh-CN"/>
        </w:rPr>
        <w:t>，营造鼓励创新、包容创新的干事创业氛围，同时坚决防止以数谋私。</w:t>
      </w:r>
    </w:p>
    <w:p w14:paraId="700685F3">
      <w:pPr>
        <w:pStyle w:val="4"/>
        <w:keepNext w:val="0"/>
        <w:keepLines w:val="0"/>
        <w:pageBreakBefore w:val="0"/>
        <w:widowControl w:val="0"/>
        <w:numPr>
          <w:ilvl w:val="-1"/>
          <w:numId w:val="0"/>
        </w:numPr>
        <w:tabs>
          <w:tab w:val="left" w:pos="4810"/>
        </w:tabs>
        <w:kinsoku/>
        <w:wordWrap/>
        <w:overflowPunct/>
        <w:topLinePunct w:val="0"/>
        <w:autoSpaceDE/>
        <w:autoSpaceDN/>
        <w:bidi w:val="0"/>
        <w:adjustRightInd/>
        <w:snapToGrid/>
        <w:spacing w:line="579" w:lineRule="exact"/>
        <w:ind w:left="0" w:leftChars="0" w:firstLine="656" w:firstLineChars="200"/>
        <w:jc w:val="both"/>
        <w:textAlignment w:val="auto"/>
        <w:outlineLvl w:val="0"/>
        <w:rPr>
          <w:rFonts w:hint="eastAsia"/>
          <w:spacing w:val="4"/>
          <w:w w:val="100"/>
          <w:highlight w:val="none"/>
          <w:lang w:eastAsia="zh-CN"/>
        </w:rPr>
      </w:pPr>
      <w:r>
        <w:rPr>
          <w:rFonts w:hint="eastAsia"/>
          <w:spacing w:val="4"/>
          <w:w w:val="100"/>
          <w:highlight w:val="none"/>
          <w:lang w:eastAsia="zh-CN"/>
        </w:rPr>
        <w:t>开展公共数据资源授权运营应有效识别和管控数据资产化、数据资产资本化不当操作带来的安全隐患，切实防范化解金融风险。</w:t>
      </w:r>
    </w:p>
    <w:p w14:paraId="4C31AC70">
      <w:pPr>
        <w:pStyle w:val="4"/>
        <w:keepNext w:val="0"/>
        <w:keepLines w:val="0"/>
        <w:pageBreakBefore w:val="0"/>
        <w:widowControl w:val="0"/>
        <w:numPr>
          <w:ilvl w:val="0"/>
          <w:numId w:val="1"/>
        </w:numPr>
        <w:kinsoku/>
        <w:wordWrap/>
        <w:overflowPunct/>
        <w:topLinePunct w:val="0"/>
        <w:autoSpaceDE w:val="0"/>
        <w:autoSpaceDN w:val="0"/>
        <w:bidi w:val="0"/>
        <w:adjustRightInd/>
        <w:snapToGrid/>
        <w:spacing w:before="300" w:beforeLines="100" w:after="300" w:afterLines="100" w:line="579" w:lineRule="exact"/>
        <w:ind w:left="0"/>
        <w:jc w:val="center"/>
        <w:textAlignment w:val="auto"/>
        <w:outlineLvl w:val="0"/>
        <w:rPr>
          <w:rFonts w:hint="eastAsia" w:ascii="黑体" w:hAnsi="黑体" w:eastAsia="黑体" w:cs="黑体"/>
          <w:w w:val="100"/>
          <w:highlight w:val="none"/>
        </w:rPr>
      </w:pPr>
      <w:r>
        <w:rPr>
          <w:rFonts w:hint="eastAsia" w:ascii="黑体" w:hAnsi="黑体" w:eastAsia="黑体" w:cs="黑体"/>
          <w:w w:val="100"/>
          <w:highlight w:val="none"/>
        </w:rPr>
        <w:t>附则</w:t>
      </w:r>
    </w:p>
    <w:p w14:paraId="1DC01D31">
      <w:pPr>
        <w:pStyle w:val="4"/>
        <w:keepNext w:val="0"/>
        <w:keepLines w:val="0"/>
        <w:pageBreakBefore w:val="0"/>
        <w:widowControl w:val="0"/>
        <w:numPr>
          <w:ilvl w:val="0"/>
          <w:numId w:val="2"/>
        </w:numPr>
        <w:tabs>
          <w:tab w:val="left" w:pos="4810"/>
          <w:tab w:val="clear" w:pos="0"/>
        </w:tabs>
        <w:kinsoku/>
        <w:wordWrap/>
        <w:overflowPunct/>
        <w:topLinePunct w:val="0"/>
        <w:autoSpaceDE w:val="0"/>
        <w:autoSpaceDN w:val="0"/>
        <w:bidi w:val="0"/>
        <w:adjustRightInd/>
        <w:snapToGrid/>
        <w:spacing w:line="579" w:lineRule="exact"/>
        <w:ind w:firstLine="656" w:firstLineChars="200"/>
        <w:jc w:val="both"/>
        <w:textAlignment w:val="auto"/>
        <w:outlineLvl w:val="0"/>
        <w:rPr>
          <w:rFonts w:hint="eastAsia"/>
          <w:spacing w:val="4"/>
          <w:w w:val="100"/>
          <w:highlight w:val="none"/>
          <w:lang w:eastAsia="zh-CN"/>
        </w:rPr>
      </w:pPr>
      <w:r>
        <w:rPr>
          <w:rFonts w:hint="eastAsia"/>
          <w:spacing w:val="4"/>
          <w:w w:val="100"/>
          <w:highlight w:val="none"/>
          <w:lang w:val="en-US" w:eastAsia="zh-CN"/>
        </w:rPr>
        <w:t>上级直属驻区单位、党委</w:t>
      </w:r>
      <w:r>
        <w:rPr>
          <w:rFonts w:hint="eastAsia"/>
          <w:spacing w:val="4"/>
          <w:w w:val="100"/>
          <w:highlight w:val="none"/>
          <w:lang w:eastAsia="zh-CN"/>
        </w:rPr>
        <w:t>持有的公共数据资源开展授权运营</w:t>
      </w:r>
      <w:r>
        <w:rPr>
          <w:rFonts w:hint="eastAsia"/>
          <w:spacing w:val="4"/>
          <w:w w:val="100"/>
          <w:highlight w:val="none"/>
          <w:lang w:val="en-US" w:eastAsia="zh-CN"/>
        </w:rPr>
        <w:t>的</w:t>
      </w:r>
      <w:r>
        <w:rPr>
          <w:rFonts w:hint="eastAsia"/>
          <w:spacing w:val="4"/>
          <w:w w:val="100"/>
          <w:highlight w:val="none"/>
          <w:lang w:eastAsia="zh-CN"/>
        </w:rPr>
        <w:t>，参照本</w:t>
      </w:r>
      <w:r>
        <w:rPr>
          <w:rFonts w:hint="eastAsia"/>
          <w:spacing w:val="4"/>
          <w:w w:val="100"/>
          <w:highlight w:val="none"/>
          <w:lang w:val="en-US" w:eastAsia="zh-CN"/>
        </w:rPr>
        <w:t>办法</w:t>
      </w:r>
      <w:r>
        <w:rPr>
          <w:rFonts w:hint="eastAsia"/>
          <w:spacing w:val="4"/>
          <w:w w:val="100"/>
          <w:highlight w:val="none"/>
          <w:lang w:eastAsia="zh-CN"/>
        </w:rPr>
        <w:t>执行。</w:t>
      </w:r>
    </w:p>
    <w:p w14:paraId="0C205D04">
      <w:pPr>
        <w:pStyle w:val="4"/>
        <w:keepNext w:val="0"/>
        <w:keepLines w:val="0"/>
        <w:pageBreakBefore w:val="0"/>
        <w:widowControl w:val="0"/>
        <w:numPr>
          <w:ilvl w:val="-1"/>
          <w:numId w:val="0"/>
        </w:numPr>
        <w:kinsoku/>
        <w:wordWrap/>
        <w:overflowPunct/>
        <w:topLinePunct w:val="0"/>
        <w:autoSpaceDE w:val="0"/>
        <w:autoSpaceDN w:val="0"/>
        <w:bidi w:val="0"/>
        <w:adjustRightInd/>
        <w:snapToGrid/>
        <w:spacing w:line="579" w:lineRule="exact"/>
        <w:ind w:left="0" w:firstLine="656" w:firstLineChars="200"/>
        <w:jc w:val="both"/>
        <w:textAlignment w:val="auto"/>
        <w:outlineLvl w:val="9"/>
        <w:rPr>
          <w:rFonts w:hint="eastAsia"/>
          <w:spacing w:val="4"/>
          <w:w w:val="100"/>
          <w:highlight w:val="none"/>
          <w:lang w:eastAsia="zh-CN"/>
        </w:rPr>
      </w:pPr>
      <w:r>
        <w:rPr>
          <w:rFonts w:hint="eastAsia"/>
          <w:spacing w:val="4"/>
          <w:w w:val="100"/>
          <w:highlight w:val="none"/>
          <w:lang w:eastAsia="zh-CN"/>
        </w:rPr>
        <w:t>供水、供气、供热、供电、公共交通等公用企业持有的公共数据资源，可参考本</w:t>
      </w:r>
      <w:r>
        <w:rPr>
          <w:rFonts w:hint="eastAsia"/>
          <w:spacing w:val="4"/>
          <w:w w:val="100"/>
          <w:highlight w:val="none"/>
          <w:lang w:val="en-US" w:eastAsia="zh-CN"/>
        </w:rPr>
        <w:t>办法</w:t>
      </w:r>
      <w:r>
        <w:rPr>
          <w:rFonts w:hint="eastAsia"/>
          <w:spacing w:val="4"/>
          <w:w w:val="100"/>
          <w:highlight w:val="none"/>
          <w:lang w:eastAsia="zh-CN"/>
        </w:rPr>
        <w:t>有关程序要求授权使用，维护公共利益和企业合法数据权益，接受政府和社会监督。</w:t>
      </w:r>
    </w:p>
    <w:p w14:paraId="02C9AE99">
      <w:pPr>
        <w:pStyle w:val="4"/>
        <w:keepNext w:val="0"/>
        <w:keepLines w:val="0"/>
        <w:pageBreakBefore w:val="0"/>
        <w:widowControl w:val="0"/>
        <w:numPr>
          <w:ilvl w:val="0"/>
          <w:numId w:val="2"/>
        </w:numPr>
        <w:tabs>
          <w:tab w:val="left" w:pos="4810"/>
          <w:tab w:val="clear" w:pos="0"/>
        </w:tabs>
        <w:kinsoku/>
        <w:wordWrap/>
        <w:overflowPunct/>
        <w:topLinePunct w:val="0"/>
        <w:autoSpaceDE w:val="0"/>
        <w:autoSpaceDN w:val="0"/>
        <w:bidi w:val="0"/>
        <w:adjustRightInd/>
        <w:snapToGrid/>
        <w:spacing w:line="579" w:lineRule="exact"/>
        <w:ind w:firstLine="656" w:firstLineChars="200"/>
        <w:jc w:val="both"/>
        <w:textAlignment w:val="auto"/>
        <w:outlineLvl w:val="0"/>
        <w:rPr>
          <w:rFonts w:hint="eastAsia"/>
          <w:spacing w:val="4"/>
          <w:w w:val="100"/>
          <w:highlight w:val="none"/>
          <w:lang w:eastAsia="zh-CN"/>
        </w:rPr>
      </w:pPr>
      <w:r>
        <w:rPr>
          <w:rFonts w:hint="eastAsia"/>
          <w:spacing w:val="4"/>
          <w:w w:val="100"/>
          <w:highlight w:val="none"/>
          <w:lang w:eastAsia="zh-CN"/>
        </w:rPr>
        <w:t>本</w:t>
      </w:r>
      <w:r>
        <w:rPr>
          <w:rFonts w:hint="eastAsia"/>
          <w:spacing w:val="4"/>
          <w:w w:val="100"/>
          <w:highlight w:val="none"/>
          <w:lang w:val="en-US" w:eastAsia="zh-CN"/>
        </w:rPr>
        <w:t>办法</w:t>
      </w:r>
      <w:r>
        <w:rPr>
          <w:rFonts w:hint="eastAsia"/>
          <w:spacing w:val="4"/>
          <w:w w:val="100"/>
          <w:highlight w:val="none"/>
          <w:lang w:eastAsia="zh-CN"/>
        </w:rPr>
        <w:t>由</w:t>
      </w:r>
      <w:r>
        <w:rPr>
          <w:rFonts w:hint="eastAsia"/>
          <w:spacing w:val="4"/>
          <w:w w:val="100"/>
          <w:highlight w:val="none"/>
          <w:lang w:val="en-US" w:eastAsia="zh-CN"/>
        </w:rPr>
        <w:t>深圳市</w:t>
      </w:r>
      <w:r>
        <w:rPr>
          <w:rFonts w:hint="eastAsia"/>
          <w:spacing w:val="4"/>
          <w:w w:val="100"/>
          <w:highlight w:val="none"/>
          <w:lang w:eastAsia="zh-CN"/>
        </w:rPr>
        <w:t>福田区政务服务和数据管理局负责解释。</w:t>
      </w:r>
    </w:p>
    <w:p w14:paraId="332A98BB">
      <w:pPr>
        <w:pStyle w:val="4"/>
        <w:keepNext w:val="0"/>
        <w:keepLines w:val="0"/>
        <w:pageBreakBefore w:val="0"/>
        <w:widowControl w:val="0"/>
        <w:numPr>
          <w:ilvl w:val="0"/>
          <w:numId w:val="2"/>
        </w:numPr>
        <w:tabs>
          <w:tab w:val="left" w:pos="4810"/>
          <w:tab w:val="clear" w:pos="0"/>
        </w:tabs>
        <w:kinsoku/>
        <w:wordWrap/>
        <w:overflowPunct/>
        <w:topLinePunct w:val="0"/>
        <w:autoSpaceDE w:val="0"/>
        <w:autoSpaceDN w:val="0"/>
        <w:bidi w:val="0"/>
        <w:adjustRightInd/>
        <w:snapToGrid/>
        <w:spacing w:line="579" w:lineRule="exact"/>
        <w:ind w:firstLine="656" w:firstLineChars="200"/>
        <w:jc w:val="both"/>
        <w:textAlignment w:val="auto"/>
        <w:outlineLvl w:val="0"/>
        <w:rPr>
          <w:rFonts w:hint="eastAsia"/>
          <w:spacing w:val="4"/>
          <w:w w:val="100"/>
          <w:highlight w:val="none"/>
          <w:lang w:eastAsia="zh-CN"/>
        </w:rPr>
      </w:pPr>
      <w:r>
        <w:rPr>
          <w:rFonts w:hint="eastAsia"/>
          <w:spacing w:val="4"/>
          <w:w w:val="100"/>
          <w:highlight w:val="none"/>
          <w:lang w:eastAsia="zh-CN"/>
        </w:rPr>
        <w:t>本</w:t>
      </w:r>
      <w:r>
        <w:rPr>
          <w:rFonts w:hint="eastAsia"/>
          <w:spacing w:val="4"/>
          <w:w w:val="100"/>
          <w:highlight w:val="none"/>
          <w:lang w:val="en-US" w:eastAsia="zh-CN"/>
        </w:rPr>
        <w:t>办法</w:t>
      </w:r>
      <w:r>
        <w:rPr>
          <w:rFonts w:hint="eastAsia"/>
          <w:spacing w:val="4"/>
          <w:w w:val="100"/>
          <w:highlight w:val="none"/>
          <w:lang w:eastAsia="zh-CN"/>
        </w:rPr>
        <w:t>自</w:t>
      </w:r>
      <w:r>
        <w:rPr>
          <w:rFonts w:hint="eastAsia"/>
          <w:spacing w:val="4"/>
          <w:w w:val="100"/>
          <w:highlight w:val="none"/>
          <w:lang w:val="en-US" w:eastAsia="zh-CN"/>
        </w:rPr>
        <w:t>2026年XX月XX日</w:t>
      </w:r>
      <w:r>
        <w:rPr>
          <w:rFonts w:hint="eastAsia"/>
          <w:spacing w:val="4"/>
          <w:w w:val="100"/>
          <w:highlight w:val="none"/>
          <w:lang w:eastAsia="zh-CN"/>
        </w:rPr>
        <w:t>起施行，有效期3年。《福田区公共数据授权运营暂行管理办法》（福府办规〔2024〕2号）</w:t>
      </w:r>
      <w:r>
        <w:rPr>
          <w:rFonts w:hint="eastAsia"/>
          <w:spacing w:val="4"/>
          <w:w w:val="100"/>
          <w:highlight w:val="none"/>
          <w:lang w:val="en-US" w:eastAsia="zh-CN"/>
        </w:rPr>
        <w:t>同时废止。</w:t>
      </w:r>
      <w:r>
        <w:rPr>
          <w:rFonts w:hint="eastAsia"/>
          <w:spacing w:val="4"/>
          <w:w w:val="100"/>
          <w:highlight w:val="none"/>
          <w:lang w:eastAsia="zh-CN"/>
        </w:rPr>
        <w:t>国家、省、市对公共数据资源授权运营管理另有规定的，从其规定。</w:t>
      </w:r>
    </w:p>
    <w:sectPr>
      <w:headerReference r:id="rId3" w:type="default"/>
      <w:footerReference r:id="rId4" w:type="default"/>
      <w:footerReference r:id="rId5" w:type="even"/>
      <w:pgSz w:w="11850" w:h="16790"/>
      <w:pgMar w:top="2041" w:right="1474" w:bottom="1984" w:left="1588" w:header="0" w:footer="1418" w:gutter="0"/>
      <w:pgNumType w:fmt="decimal"/>
      <w:cols w:space="0" w:num="1"/>
      <w:docGrid w:linePitch="29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_GBK">
    <w:panose1 w:val="02000000000000000000"/>
    <w:charset w:val="86"/>
    <w:family w:val="auto"/>
    <w:pitch w:val="default"/>
    <w:sig w:usb0="00000001" w:usb1="0800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方正公文小标宋">
    <w:altName w:val="方正小标宋简体"/>
    <w:panose1 w:val="02000500000000000000"/>
    <w:charset w:val="86"/>
    <w:family w:val="auto"/>
    <w:pitch w:val="default"/>
    <w:sig w:usb0="00000000" w:usb1="00000000" w:usb2="00000016" w:usb3="00000000" w:csb0="00040001" w:csb1="00000000"/>
  </w:font>
  <w:font w:name="方正小标宋简体">
    <w:panose1 w:val="02010601030101010101"/>
    <w:charset w:val="86"/>
    <w:family w:val="auto"/>
    <w:pitch w:val="default"/>
    <w:sig w:usb0="00000001" w:usb1="080E0000" w:usb2="00000000" w:usb3="00000000" w:csb0="00040000" w:csb1="00000000"/>
  </w:font>
  <w:font w:name="FZShuSong-Z01">
    <w:panose1 w:val="02000000000000000000"/>
    <w:charset w:val="86"/>
    <w:family w:val="auto"/>
    <w:pitch w:val="default"/>
    <w:sig w:usb0="00000001" w:usb1="08000000" w:usb2="00000000" w:usb3="00000000" w:csb0="00040000" w:csb1="00000000"/>
  </w:font>
  <w:font w:name="Microsoft YaHe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BFB75A">
    <w:pPr>
      <w:pStyle w:val="4"/>
      <w:spacing w:line="14" w:lineRule="auto"/>
      <w:ind w:left="0"/>
      <w:rPr>
        <w:rFonts w:hint="eastAsia"/>
        <w:sz w:val="20"/>
      </w:rPr>
    </w:pPr>
    <w:r>
      <w:rPr>
        <w:sz w:val="20"/>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01BE3F3">
                          <w:pPr>
                            <w:pStyle w:val="5"/>
                            <w:rPr>
                              <w:rFonts w:hint="eastAsia" w:ascii="仿宋_GB2312" w:hAnsi="仿宋_GB2312" w:eastAsia="仿宋_GB2312"/>
                              <w:sz w:val="28"/>
                              <w:szCs w:val="28"/>
                            </w:rPr>
                          </w:pPr>
                          <w:r>
                            <w:rPr>
                              <w:rFonts w:hint="eastAsia"/>
                              <w:sz w:val="28"/>
                              <w:szCs w:val="28"/>
                            </w:rPr>
                            <w:t xml:space="preserve">— </w:t>
                          </w:r>
                          <w:r>
                            <w:rPr>
                              <w:rFonts w:hint="eastAsia"/>
                              <w:sz w:val="28"/>
                              <w:szCs w:val="28"/>
                            </w:rPr>
                            <w:fldChar w:fldCharType="begin"/>
                          </w:r>
                          <w:r>
                            <w:rPr>
                              <w:rFonts w:hint="eastAsia"/>
                              <w:sz w:val="28"/>
                              <w:szCs w:val="28"/>
                            </w:rPr>
                            <w:instrText xml:space="preserve"> PAGE  \* MERGEFORMAT </w:instrText>
                          </w:r>
                          <w:r>
                            <w:rPr>
                              <w:rFonts w:hint="eastAsia"/>
                              <w:sz w:val="28"/>
                              <w:szCs w:val="28"/>
                            </w:rPr>
                            <w:fldChar w:fldCharType="separate"/>
                          </w:r>
                          <w:r>
                            <w:rPr>
                              <w:rFonts w:hint="eastAsia"/>
                              <w:sz w:val="28"/>
                              <w:szCs w:val="28"/>
                            </w:rPr>
                            <w:t>1</w:t>
                          </w:r>
                          <w:r>
                            <w:rPr>
                              <w:rFonts w:hint="eastAsia"/>
                              <w:sz w:val="28"/>
                              <w:szCs w:val="28"/>
                            </w:rPr>
                            <w:fldChar w:fldCharType="end"/>
                          </w:r>
                          <w:r>
                            <w:rPr>
                              <w:rFonts w:hint="eastAsia"/>
                              <w:sz w:val="28"/>
                              <w:szCs w:val="28"/>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001BE3F3">
                    <w:pPr>
                      <w:pStyle w:val="5"/>
                      <w:rPr>
                        <w:rFonts w:hint="eastAsia" w:ascii="仿宋_GB2312" w:hAnsi="仿宋_GB2312" w:eastAsia="仿宋_GB2312"/>
                        <w:sz w:val="28"/>
                        <w:szCs w:val="28"/>
                      </w:rPr>
                    </w:pPr>
                    <w:r>
                      <w:rPr>
                        <w:rFonts w:hint="eastAsia"/>
                        <w:sz w:val="28"/>
                        <w:szCs w:val="28"/>
                      </w:rPr>
                      <w:t xml:space="preserve">— </w:t>
                    </w:r>
                    <w:r>
                      <w:rPr>
                        <w:rFonts w:hint="eastAsia"/>
                        <w:sz w:val="28"/>
                        <w:szCs w:val="28"/>
                      </w:rPr>
                      <w:fldChar w:fldCharType="begin"/>
                    </w:r>
                    <w:r>
                      <w:rPr>
                        <w:rFonts w:hint="eastAsia"/>
                        <w:sz w:val="28"/>
                        <w:szCs w:val="28"/>
                      </w:rPr>
                      <w:instrText xml:space="preserve"> PAGE  \* MERGEFORMAT </w:instrText>
                    </w:r>
                    <w:r>
                      <w:rPr>
                        <w:rFonts w:hint="eastAsia"/>
                        <w:sz w:val="28"/>
                        <w:szCs w:val="28"/>
                      </w:rPr>
                      <w:fldChar w:fldCharType="separate"/>
                    </w:r>
                    <w:r>
                      <w:rPr>
                        <w:rFonts w:hint="eastAsia"/>
                        <w:sz w:val="28"/>
                        <w:szCs w:val="28"/>
                      </w:rPr>
                      <w:t>1</w:t>
                    </w:r>
                    <w:r>
                      <w:rPr>
                        <w:rFonts w:hint="eastAsia"/>
                        <w:sz w:val="28"/>
                        <w:szCs w:val="28"/>
                      </w:rPr>
                      <w:fldChar w:fldCharType="end"/>
                    </w:r>
                    <w:r>
                      <w:rPr>
                        <w:rFonts w:hint="eastAsia"/>
                        <w:sz w:val="28"/>
                        <w:szCs w:val="28"/>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0DAFF5">
    <w:pPr>
      <w:pStyle w:val="4"/>
      <w:spacing w:line="14" w:lineRule="auto"/>
      <w:ind w:left="0"/>
      <w:rPr>
        <w:rFonts w:hint="eastAsia"/>
        <w:sz w:val="20"/>
      </w:rPr>
    </w:pPr>
    <w:r>
      <w:rPr>
        <w:sz w:val="20"/>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352550" cy="1828800"/>
              <wp:effectExtent l="0" t="0" r="0" b="10795"/>
              <wp:wrapNone/>
              <wp:docPr id="2" name="文本框 2"/>
              <wp:cNvGraphicFramePr/>
              <a:graphic xmlns:a="http://schemas.openxmlformats.org/drawingml/2006/main">
                <a:graphicData uri="http://schemas.microsoft.com/office/word/2010/wordprocessingShape">
                  <wps:wsp>
                    <wps:cNvSpPr txBox="1"/>
                    <wps:spPr>
                      <a:xfrm>
                        <a:off x="0" y="0"/>
                        <a:ext cx="135255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3B43050">
                          <w:pPr>
                            <w:pStyle w:val="5"/>
                            <w:rPr>
                              <w:rFonts w:hint="eastAsia" w:ascii="仿宋_GB2312" w:hAnsi="仿宋_GB2312" w:eastAsia="仿宋_GB2312"/>
                              <w:sz w:val="28"/>
                            </w:rPr>
                          </w:pPr>
                          <w:r>
                            <w:rPr>
                              <w:rFonts w:hint="eastAsia" w:ascii="仿宋_GB2312" w:hAnsi="仿宋_GB2312" w:eastAsia="仿宋_GB2312"/>
                              <w:sz w:val="28"/>
                            </w:rPr>
                            <w:t xml:space="preserve">— </w:t>
                          </w:r>
                          <w:r>
                            <w:rPr>
                              <w:rFonts w:hint="eastAsia" w:ascii="仿宋_GB2312" w:hAnsi="仿宋_GB2312" w:eastAsia="仿宋_GB2312"/>
                              <w:sz w:val="28"/>
                            </w:rPr>
                            <w:fldChar w:fldCharType="begin"/>
                          </w:r>
                          <w:r>
                            <w:rPr>
                              <w:rFonts w:hint="eastAsia" w:ascii="仿宋_GB2312" w:hAnsi="仿宋_GB2312" w:eastAsia="仿宋_GB2312"/>
                              <w:sz w:val="28"/>
                            </w:rPr>
                            <w:instrText xml:space="preserve"> PAGE  \* MERGEFORMAT </w:instrText>
                          </w:r>
                          <w:r>
                            <w:rPr>
                              <w:rFonts w:hint="eastAsia" w:ascii="仿宋_GB2312" w:hAnsi="仿宋_GB2312" w:eastAsia="仿宋_GB2312"/>
                              <w:sz w:val="28"/>
                            </w:rPr>
                            <w:fldChar w:fldCharType="separate"/>
                          </w:r>
                          <w:r>
                            <w:rPr>
                              <w:rFonts w:hint="eastAsia" w:ascii="仿宋_GB2312" w:hAnsi="仿宋_GB2312" w:eastAsia="仿宋_GB2312"/>
                              <w:sz w:val="28"/>
                            </w:rPr>
                            <w:t>2</w:t>
                          </w:r>
                          <w:r>
                            <w:rPr>
                              <w:rFonts w:hint="eastAsia" w:ascii="仿宋_GB2312" w:hAnsi="仿宋_GB2312" w:eastAsia="仿宋_GB2312"/>
                              <w:sz w:val="28"/>
                            </w:rPr>
                            <w:fldChar w:fldCharType="end"/>
                          </w:r>
                          <w:r>
                            <w:rPr>
                              <w:rFonts w:hint="eastAsia" w:ascii="仿宋_GB2312" w:hAnsi="仿宋_GB2312" w:eastAsia="仿宋_GB2312"/>
                              <w:sz w:val="28"/>
                            </w:rPr>
                            <w:t xml:space="preserve"> —</w:t>
                          </w:r>
                        </w:p>
                      </w:txbxContent>
                    </wps:txbx>
                    <wps:bodyPr rot="0" spcFirstLastPara="0" vertOverflow="overflow" horzOverflow="overflow" vert="horz" wrap="squar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06.5pt;mso-position-horizontal:outside;mso-position-horizontal-relative:margin;z-index:251660288;mso-width-relative:page;mso-height-relative:page;" filled="f" stroked="f" coordsize="21600,21600" o:gfxdata="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MhNfmTSAAAABQEAAA8AAAAAAAAAAQAgAAAAIgAAAGRycy9kb3ducmV2LnhtbFBLAQIU&#10;ABQAAAAIAIdO4kB5HeL+MgIAAFcEAAAOAAAAAAAAAAEAIAAAACEBAABkcnMvZTJvRG9jLnhtbFBL&#10;BQYAAAAABgAGAFkBAADFBQAAAAA=&#10;">
              <v:fill on="f" focussize="0,0"/>
              <v:stroke on="f" weight="0.5pt"/>
              <v:imagedata o:title=""/>
              <o:lock v:ext="edit" aspectratio="f"/>
              <v:textbox inset="0mm,0mm,0mm,0mm" style="mso-fit-shape-to-text:t;">
                <w:txbxContent>
                  <w:p w14:paraId="33B43050">
                    <w:pPr>
                      <w:pStyle w:val="5"/>
                      <w:rPr>
                        <w:rFonts w:hint="eastAsia" w:ascii="仿宋_GB2312" w:hAnsi="仿宋_GB2312" w:eastAsia="仿宋_GB2312"/>
                        <w:sz w:val="28"/>
                      </w:rPr>
                    </w:pPr>
                    <w:r>
                      <w:rPr>
                        <w:rFonts w:hint="eastAsia" w:ascii="仿宋_GB2312" w:hAnsi="仿宋_GB2312" w:eastAsia="仿宋_GB2312"/>
                        <w:sz w:val="28"/>
                      </w:rPr>
                      <w:t xml:space="preserve">— </w:t>
                    </w:r>
                    <w:r>
                      <w:rPr>
                        <w:rFonts w:hint="eastAsia" w:ascii="仿宋_GB2312" w:hAnsi="仿宋_GB2312" w:eastAsia="仿宋_GB2312"/>
                        <w:sz w:val="28"/>
                      </w:rPr>
                      <w:fldChar w:fldCharType="begin"/>
                    </w:r>
                    <w:r>
                      <w:rPr>
                        <w:rFonts w:hint="eastAsia" w:ascii="仿宋_GB2312" w:hAnsi="仿宋_GB2312" w:eastAsia="仿宋_GB2312"/>
                        <w:sz w:val="28"/>
                      </w:rPr>
                      <w:instrText xml:space="preserve"> PAGE  \* MERGEFORMAT </w:instrText>
                    </w:r>
                    <w:r>
                      <w:rPr>
                        <w:rFonts w:hint="eastAsia" w:ascii="仿宋_GB2312" w:hAnsi="仿宋_GB2312" w:eastAsia="仿宋_GB2312"/>
                        <w:sz w:val="28"/>
                      </w:rPr>
                      <w:fldChar w:fldCharType="separate"/>
                    </w:r>
                    <w:r>
                      <w:rPr>
                        <w:rFonts w:hint="eastAsia" w:ascii="仿宋_GB2312" w:hAnsi="仿宋_GB2312" w:eastAsia="仿宋_GB2312"/>
                        <w:sz w:val="28"/>
                      </w:rPr>
                      <w:t>2</w:t>
                    </w:r>
                    <w:r>
                      <w:rPr>
                        <w:rFonts w:hint="eastAsia" w:ascii="仿宋_GB2312" w:hAnsi="仿宋_GB2312" w:eastAsia="仿宋_GB2312"/>
                        <w:sz w:val="28"/>
                      </w:rPr>
                      <w:fldChar w:fldCharType="end"/>
                    </w:r>
                    <w:r>
                      <w:rPr>
                        <w:rFonts w:hint="eastAsia" w:ascii="仿宋_GB2312" w:hAnsi="仿宋_GB2312" w:eastAsia="仿宋_GB2312"/>
                        <w:sz w:val="28"/>
                      </w:rP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9D7B1F">
    <w:pPr>
      <w:pStyle w:val="6"/>
      <w:rPr>
        <w:rFonts w:hint="eastAsia"/>
        <w:color w:val="auto"/>
        <w:sz w:val="28"/>
        <w:szCs w:val="40"/>
        <w:lang w:eastAsia="zh-CN"/>
      </w:rPr>
    </w:pPr>
  </w:p>
  <w:p w14:paraId="20CE4558">
    <w:pPr>
      <w:pStyle w:val="6"/>
      <w:rPr>
        <w:rFonts w:hint="eastAsia" w:eastAsia="仿宋_GB2312"/>
        <w:color w:val="auto"/>
        <w:sz w:val="28"/>
        <w:szCs w:val="40"/>
        <w:lang w:eastAsia="zh-C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5D60E43"/>
    <w:multiLevelType w:val="singleLevel"/>
    <w:tmpl w:val="85D60E43"/>
    <w:lvl w:ilvl="0" w:tentative="0">
      <w:start w:val="1"/>
      <w:numFmt w:val="chineseCounting"/>
      <w:lvlText w:val="第%1章"/>
      <w:lvlJc w:val="left"/>
      <w:rPr>
        <w:rFonts w:hint="eastAsia"/>
      </w:rPr>
    </w:lvl>
  </w:abstractNum>
  <w:abstractNum w:abstractNumId="1">
    <w:nsid w:val="FFFEB72C"/>
    <w:multiLevelType w:val="multilevel"/>
    <w:tmpl w:val="FFFEB72C"/>
    <w:lvl w:ilvl="0" w:tentative="0">
      <w:start w:val="1"/>
      <w:numFmt w:val="chineseCounting"/>
      <w:suff w:val="nothing"/>
      <w:lvlText w:val="第%1条 "/>
      <w:lvlJc w:val="left"/>
      <w:pPr>
        <w:tabs>
          <w:tab w:val="left" w:pos="0"/>
        </w:tabs>
        <w:ind w:left="0" w:firstLine="0"/>
      </w:pPr>
      <w:rPr>
        <w:rFonts w:hint="eastAsia" w:ascii="宋体" w:hAnsi="宋体" w:eastAsia="黑体" w:cs="宋体"/>
      </w:rPr>
    </w:lvl>
    <w:lvl w:ilvl="1" w:tentative="0">
      <w:start w:val="1"/>
      <w:numFmt w:val="chineseCounting"/>
      <w:suff w:val="nothing"/>
      <w:lvlText w:val="第%2节　"/>
      <w:lvlJc w:val="left"/>
      <w:pPr>
        <w:ind w:left="0" w:firstLine="402"/>
      </w:pPr>
      <w:rPr>
        <w:rFonts w:hint="eastAsia"/>
      </w:rPr>
    </w:lvl>
    <w:lvl w:ilvl="2" w:tentative="0">
      <w:start w:val="1"/>
      <w:numFmt w:val="chineseCounting"/>
      <w:suff w:val="nothing"/>
      <w:lvlText w:val="第%3条　"/>
      <w:lvlJc w:val="left"/>
      <w:pPr>
        <w:ind w:left="0" w:firstLine="402"/>
      </w:pPr>
      <w:rPr>
        <w:rFonts w:hint="eastAsia"/>
      </w:rPr>
    </w:lvl>
    <w:lvl w:ilvl="3" w:tentative="0">
      <w:start w:val="1"/>
      <w:numFmt w:val="chineseCounting"/>
      <w:suff w:val="nothing"/>
      <w:lvlText w:val="（%4）"/>
      <w:lvlJc w:val="left"/>
      <w:pPr>
        <w:ind w:left="0" w:firstLine="402"/>
      </w:pPr>
      <w:rPr>
        <w:rFonts w:hint="eastAsia"/>
      </w:rPr>
    </w:lvl>
    <w:lvl w:ilvl="4" w:tentative="0">
      <w:start w:val="1"/>
      <w:numFmt w:val="decimal"/>
      <w:suff w:val="nothing"/>
      <w:lvlText w:val="%5．"/>
      <w:lvlJc w:val="left"/>
      <w:pPr>
        <w:ind w:left="0" w:firstLine="402"/>
      </w:pPr>
      <w:rPr>
        <w:rFonts w:hint="eastAsia"/>
      </w:rPr>
    </w:lvl>
    <w:lvl w:ilvl="5" w:tentative="0">
      <w:start w:val="1"/>
      <w:numFmt w:val="decimal"/>
      <w:suff w:val="nothing"/>
      <w:lvlText w:val="（%6）"/>
      <w:lvlJc w:val="left"/>
      <w:pPr>
        <w:ind w:left="0" w:firstLine="402"/>
      </w:pPr>
      <w:rPr>
        <w:rFonts w:hint="eastAsia"/>
      </w:rPr>
    </w:lvl>
    <w:lvl w:ilvl="6" w:tentative="0">
      <w:start w:val="1"/>
      <w:numFmt w:val="decimalEnclosedCircleChinese"/>
      <w:suff w:val="nothing"/>
      <w:lvlText w:val="%7 "/>
      <w:lvlJc w:val="left"/>
      <w:pPr>
        <w:ind w:left="0" w:firstLine="402"/>
      </w:pPr>
      <w:rPr>
        <w:rFonts w:hint="eastAsia"/>
      </w:rPr>
    </w:lvl>
    <w:lvl w:ilvl="7" w:tentative="0">
      <w:start w:val="1"/>
      <w:numFmt w:val="decimal"/>
      <w:suff w:val="nothing"/>
      <w:lvlText w:val="%8）"/>
      <w:lvlJc w:val="left"/>
      <w:pPr>
        <w:ind w:left="0" w:firstLine="402"/>
      </w:pPr>
      <w:rPr>
        <w:rFonts w:hint="eastAsia"/>
      </w:rPr>
    </w:lvl>
    <w:lvl w:ilvl="8" w:tentative="0">
      <w:start w:val="1"/>
      <w:numFmt w:val="lowerLetter"/>
      <w:suff w:val="nothing"/>
      <w:lvlText w:val="%9．"/>
      <w:lvlJc w:val="left"/>
      <w:pPr>
        <w:ind w:left="0" w:firstLine="402"/>
      </w:pPr>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revisionView w:markup="0"/>
  <w:documentProtection w:enforcement="0"/>
  <w:defaultTabStop w:val="720"/>
  <w:evenAndOddHeaders w:val="1"/>
  <w:drawingGridHorizontalSpacing w:val="110"/>
  <w:displayHorizontalDrawingGridEvery w:val="1"/>
  <w:displayVerticalDrawingGridEvery w:val="1"/>
  <w:noPunctuationKerning w:val="1"/>
  <w:characterSpacingControl w:val="doNotCompress"/>
  <w:compat>
    <w:balanceSingleByteDoubleByteWidth/>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1CC7"/>
    <w:rsid w:val="0019390C"/>
    <w:rsid w:val="003568EE"/>
    <w:rsid w:val="00772DDF"/>
    <w:rsid w:val="00853E90"/>
    <w:rsid w:val="00866F79"/>
    <w:rsid w:val="008B1CC7"/>
    <w:rsid w:val="00902A3B"/>
    <w:rsid w:val="00B443D2"/>
    <w:rsid w:val="00C364C2"/>
    <w:rsid w:val="00C53CB8"/>
    <w:rsid w:val="00EC36A1"/>
    <w:rsid w:val="00FA65E0"/>
    <w:rsid w:val="01280DEF"/>
    <w:rsid w:val="018C52B5"/>
    <w:rsid w:val="019839AC"/>
    <w:rsid w:val="01F30663"/>
    <w:rsid w:val="02031575"/>
    <w:rsid w:val="02151639"/>
    <w:rsid w:val="02591627"/>
    <w:rsid w:val="02BF83A2"/>
    <w:rsid w:val="02E42DB9"/>
    <w:rsid w:val="03172706"/>
    <w:rsid w:val="0325699D"/>
    <w:rsid w:val="032770F0"/>
    <w:rsid w:val="03764359"/>
    <w:rsid w:val="03842335"/>
    <w:rsid w:val="03AC1B29"/>
    <w:rsid w:val="03C0131A"/>
    <w:rsid w:val="04294B38"/>
    <w:rsid w:val="047D0461"/>
    <w:rsid w:val="04FE1B9D"/>
    <w:rsid w:val="05B75E63"/>
    <w:rsid w:val="0641497C"/>
    <w:rsid w:val="06AB3619"/>
    <w:rsid w:val="06EFC54C"/>
    <w:rsid w:val="06F916B8"/>
    <w:rsid w:val="072623C9"/>
    <w:rsid w:val="07A31495"/>
    <w:rsid w:val="07F3A475"/>
    <w:rsid w:val="07F933E3"/>
    <w:rsid w:val="0860525C"/>
    <w:rsid w:val="087A654B"/>
    <w:rsid w:val="08B52B24"/>
    <w:rsid w:val="08BB749D"/>
    <w:rsid w:val="098B3F8E"/>
    <w:rsid w:val="09914461"/>
    <w:rsid w:val="09967D1A"/>
    <w:rsid w:val="0A4C30F3"/>
    <w:rsid w:val="0A5C3623"/>
    <w:rsid w:val="0A9636FD"/>
    <w:rsid w:val="0B0E4BB4"/>
    <w:rsid w:val="0B3C7694"/>
    <w:rsid w:val="0BA34BCB"/>
    <w:rsid w:val="0BC83278"/>
    <w:rsid w:val="0BCD1E44"/>
    <w:rsid w:val="0C136A65"/>
    <w:rsid w:val="0C715AF3"/>
    <w:rsid w:val="0C9C52A5"/>
    <w:rsid w:val="0CEA5470"/>
    <w:rsid w:val="0D072A47"/>
    <w:rsid w:val="0D78668C"/>
    <w:rsid w:val="0D79B5B7"/>
    <w:rsid w:val="0E68139D"/>
    <w:rsid w:val="0E793118"/>
    <w:rsid w:val="0E8D430E"/>
    <w:rsid w:val="0ED56A9F"/>
    <w:rsid w:val="0ED75C04"/>
    <w:rsid w:val="0EE20797"/>
    <w:rsid w:val="0F0E239E"/>
    <w:rsid w:val="0F441D8F"/>
    <w:rsid w:val="0F6966CB"/>
    <w:rsid w:val="0F920C6F"/>
    <w:rsid w:val="0F955B67"/>
    <w:rsid w:val="0F9F184D"/>
    <w:rsid w:val="0FD82B76"/>
    <w:rsid w:val="10E01E6C"/>
    <w:rsid w:val="11413C7C"/>
    <w:rsid w:val="11B60016"/>
    <w:rsid w:val="12816876"/>
    <w:rsid w:val="12C86600"/>
    <w:rsid w:val="12EB20F1"/>
    <w:rsid w:val="132D1193"/>
    <w:rsid w:val="133135B1"/>
    <w:rsid w:val="13FF5C2F"/>
    <w:rsid w:val="14306E1C"/>
    <w:rsid w:val="147125BC"/>
    <w:rsid w:val="14911201"/>
    <w:rsid w:val="14D90EA2"/>
    <w:rsid w:val="157BCC8C"/>
    <w:rsid w:val="15BB3955"/>
    <w:rsid w:val="15CA4090"/>
    <w:rsid w:val="16087F4C"/>
    <w:rsid w:val="160B1047"/>
    <w:rsid w:val="1652124E"/>
    <w:rsid w:val="16882F1C"/>
    <w:rsid w:val="16C0583D"/>
    <w:rsid w:val="16E017E8"/>
    <w:rsid w:val="172346B6"/>
    <w:rsid w:val="175C3914"/>
    <w:rsid w:val="178FEA0D"/>
    <w:rsid w:val="17C47B21"/>
    <w:rsid w:val="17F72B00"/>
    <w:rsid w:val="192A6B33"/>
    <w:rsid w:val="196D6F46"/>
    <w:rsid w:val="19BA5480"/>
    <w:rsid w:val="1A0124AB"/>
    <w:rsid w:val="1A68043A"/>
    <w:rsid w:val="1AFBE453"/>
    <w:rsid w:val="1BB363E4"/>
    <w:rsid w:val="1BBD4DC2"/>
    <w:rsid w:val="1BFEC80E"/>
    <w:rsid w:val="1BFFBA1A"/>
    <w:rsid w:val="1CDD6038"/>
    <w:rsid w:val="1CFF8EB1"/>
    <w:rsid w:val="1D5E59BA"/>
    <w:rsid w:val="1D8A2A83"/>
    <w:rsid w:val="1D9A8949"/>
    <w:rsid w:val="1DC92F91"/>
    <w:rsid w:val="1DD53C90"/>
    <w:rsid w:val="1E1F8B15"/>
    <w:rsid w:val="1E3E2FA5"/>
    <w:rsid w:val="1E7F4034"/>
    <w:rsid w:val="1E9C5BD5"/>
    <w:rsid w:val="1EACD25E"/>
    <w:rsid w:val="1EAEDC92"/>
    <w:rsid w:val="1EF107E8"/>
    <w:rsid w:val="1EF47B16"/>
    <w:rsid w:val="1EFF06BC"/>
    <w:rsid w:val="1F3E6262"/>
    <w:rsid w:val="1F5A7BAA"/>
    <w:rsid w:val="1F6AEDDC"/>
    <w:rsid w:val="1F6E1D5E"/>
    <w:rsid w:val="1F7A1770"/>
    <w:rsid w:val="1F8F929F"/>
    <w:rsid w:val="1FA34FAE"/>
    <w:rsid w:val="1FA41427"/>
    <w:rsid w:val="1FAB8C22"/>
    <w:rsid w:val="1FB24CCA"/>
    <w:rsid w:val="1FBA5A84"/>
    <w:rsid w:val="1FBDB26D"/>
    <w:rsid w:val="1FDF1515"/>
    <w:rsid w:val="1FED74D8"/>
    <w:rsid w:val="1FF35BE5"/>
    <w:rsid w:val="1FFF6432"/>
    <w:rsid w:val="206D43F2"/>
    <w:rsid w:val="206F5F60"/>
    <w:rsid w:val="216A3624"/>
    <w:rsid w:val="219315A3"/>
    <w:rsid w:val="21E00D28"/>
    <w:rsid w:val="21FF511E"/>
    <w:rsid w:val="22237EFA"/>
    <w:rsid w:val="22F30A66"/>
    <w:rsid w:val="237F0731"/>
    <w:rsid w:val="23FA6623"/>
    <w:rsid w:val="24C72F4A"/>
    <w:rsid w:val="24FF28BB"/>
    <w:rsid w:val="251662CA"/>
    <w:rsid w:val="258C1362"/>
    <w:rsid w:val="25BE73B3"/>
    <w:rsid w:val="25BF7A5F"/>
    <w:rsid w:val="25FDD2A4"/>
    <w:rsid w:val="260F6C7E"/>
    <w:rsid w:val="26166D51"/>
    <w:rsid w:val="26170C2C"/>
    <w:rsid w:val="26843239"/>
    <w:rsid w:val="268F4C66"/>
    <w:rsid w:val="26B11081"/>
    <w:rsid w:val="26FE3F4A"/>
    <w:rsid w:val="27085DEF"/>
    <w:rsid w:val="273B0DAF"/>
    <w:rsid w:val="2777371C"/>
    <w:rsid w:val="2799D99E"/>
    <w:rsid w:val="27C5542E"/>
    <w:rsid w:val="27DF31BF"/>
    <w:rsid w:val="28387C61"/>
    <w:rsid w:val="289B7778"/>
    <w:rsid w:val="28CC2A3D"/>
    <w:rsid w:val="28EF36BE"/>
    <w:rsid w:val="290E4E30"/>
    <w:rsid w:val="29254783"/>
    <w:rsid w:val="29600DFE"/>
    <w:rsid w:val="29F3375E"/>
    <w:rsid w:val="2A2E29E8"/>
    <w:rsid w:val="2AB225DB"/>
    <w:rsid w:val="2B133327"/>
    <w:rsid w:val="2B3C5D76"/>
    <w:rsid w:val="2B5E589F"/>
    <w:rsid w:val="2BD7130A"/>
    <w:rsid w:val="2C1F33EC"/>
    <w:rsid w:val="2C44486D"/>
    <w:rsid w:val="2C6405CC"/>
    <w:rsid w:val="2C877DC8"/>
    <w:rsid w:val="2CC47634"/>
    <w:rsid w:val="2CFA0492"/>
    <w:rsid w:val="2D254CF9"/>
    <w:rsid w:val="2DA37249"/>
    <w:rsid w:val="2DE2D053"/>
    <w:rsid w:val="2E4C53AD"/>
    <w:rsid w:val="2E7416E4"/>
    <w:rsid w:val="2E7D6FE8"/>
    <w:rsid w:val="2EDC3770"/>
    <w:rsid w:val="2EFFD367"/>
    <w:rsid w:val="2F3DEB2E"/>
    <w:rsid w:val="2F6BBAF4"/>
    <w:rsid w:val="2F866E22"/>
    <w:rsid w:val="2F896490"/>
    <w:rsid w:val="2FAC4ADB"/>
    <w:rsid w:val="2FBEE2B2"/>
    <w:rsid w:val="2FBF2DDD"/>
    <w:rsid w:val="2FD4EB68"/>
    <w:rsid w:val="2FD6B774"/>
    <w:rsid w:val="2FF73F23"/>
    <w:rsid w:val="2FFE4A88"/>
    <w:rsid w:val="2FFF1A79"/>
    <w:rsid w:val="30087E08"/>
    <w:rsid w:val="30830EC9"/>
    <w:rsid w:val="311A5A74"/>
    <w:rsid w:val="3146765C"/>
    <w:rsid w:val="31B267E3"/>
    <w:rsid w:val="324A4499"/>
    <w:rsid w:val="34B3540D"/>
    <w:rsid w:val="34B707AE"/>
    <w:rsid w:val="34D86C30"/>
    <w:rsid w:val="34E60573"/>
    <w:rsid w:val="35337105"/>
    <w:rsid w:val="357F5EE5"/>
    <w:rsid w:val="35CF2F6B"/>
    <w:rsid w:val="35D43DB2"/>
    <w:rsid w:val="35E6118E"/>
    <w:rsid w:val="35EF0647"/>
    <w:rsid w:val="35F7AB5C"/>
    <w:rsid w:val="367EF0E4"/>
    <w:rsid w:val="36B7CB25"/>
    <w:rsid w:val="36CD5541"/>
    <w:rsid w:val="36E63FA0"/>
    <w:rsid w:val="373F1CAF"/>
    <w:rsid w:val="3767464F"/>
    <w:rsid w:val="37A579E3"/>
    <w:rsid w:val="37ADC5B1"/>
    <w:rsid w:val="37B94208"/>
    <w:rsid w:val="37D77C6E"/>
    <w:rsid w:val="37DB90CB"/>
    <w:rsid w:val="37EDFF74"/>
    <w:rsid w:val="37F18576"/>
    <w:rsid w:val="37FF7772"/>
    <w:rsid w:val="384A11A1"/>
    <w:rsid w:val="38C84DC3"/>
    <w:rsid w:val="38F028B9"/>
    <w:rsid w:val="393336C0"/>
    <w:rsid w:val="39773544"/>
    <w:rsid w:val="398E6FFF"/>
    <w:rsid w:val="399B691E"/>
    <w:rsid w:val="3A1B59B7"/>
    <w:rsid w:val="3A500759"/>
    <w:rsid w:val="3A517C96"/>
    <w:rsid w:val="3A5311A5"/>
    <w:rsid w:val="3A767DF5"/>
    <w:rsid w:val="3A7C4345"/>
    <w:rsid w:val="3A911725"/>
    <w:rsid w:val="3ABF2B0F"/>
    <w:rsid w:val="3AFEC258"/>
    <w:rsid w:val="3B176016"/>
    <w:rsid w:val="3B227EAE"/>
    <w:rsid w:val="3B3B4F65"/>
    <w:rsid w:val="3B73B38A"/>
    <w:rsid w:val="3B7F9106"/>
    <w:rsid w:val="3B7FAF0B"/>
    <w:rsid w:val="3B9E272A"/>
    <w:rsid w:val="3BAB4305"/>
    <w:rsid w:val="3BAED759"/>
    <w:rsid w:val="3BB64E5B"/>
    <w:rsid w:val="3BBFDB08"/>
    <w:rsid w:val="3BED1C32"/>
    <w:rsid w:val="3BEF8F55"/>
    <w:rsid w:val="3BF79A51"/>
    <w:rsid w:val="3BFC6B6A"/>
    <w:rsid w:val="3BFFB90D"/>
    <w:rsid w:val="3CAFD275"/>
    <w:rsid w:val="3CB2B2F9"/>
    <w:rsid w:val="3CCC59CF"/>
    <w:rsid w:val="3CDB4D4F"/>
    <w:rsid w:val="3CE75166"/>
    <w:rsid w:val="3D5D7FB8"/>
    <w:rsid w:val="3DB812B5"/>
    <w:rsid w:val="3DBD26C3"/>
    <w:rsid w:val="3DCD3DBD"/>
    <w:rsid w:val="3DCE036E"/>
    <w:rsid w:val="3DFC25E2"/>
    <w:rsid w:val="3E0E23B6"/>
    <w:rsid w:val="3E3FDB34"/>
    <w:rsid w:val="3E5295EE"/>
    <w:rsid w:val="3E671C32"/>
    <w:rsid w:val="3EDB24B2"/>
    <w:rsid w:val="3EDC080D"/>
    <w:rsid w:val="3EED3E9B"/>
    <w:rsid w:val="3EFF112B"/>
    <w:rsid w:val="3F3E64C1"/>
    <w:rsid w:val="3F6B8E7A"/>
    <w:rsid w:val="3F6FC69C"/>
    <w:rsid w:val="3F7FBBE7"/>
    <w:rsid w:val="3F9A0E27"/>
    <w:rsid w:val="3FA3B2CF"/>
    <w:rsid w:val="3FB2448F"/>
    <w:rsid w:val="3FBB73B0"/>
    <w:rsid w:val="3FBD055A"/>
    <w:rsid w:val="3FBE722E"/>
    <w:rsid w:val="3FCF26DB"/>
    <w:rsid w:val="3FCF6205"/>
    <w:rsid w:val="3FCFD9B9"/>
    <w:rsid w:val="3FDEA2CC"/>
    <w:rsid w:val="3FEBF058"/>
    <w:rsid w:val="3FEF63DC"/>
    <w:rsid w:val="3FF70E04"/>
    <w:rsid w:val="3FFB5614"/>
    <w:rsid w:val="3FFB6809"/>
    <w:rsid w:val="400224F5"/>
    <w:rsid w:val="40384169"/>
    <w:rsid w:val="408211A7"/>
    <w:rsid w:val="40CB6940"/>
    <w:rsid w:val="40E72B0B"/>
    <w:rsid w:val="41984EBF"/>
    <w:rsid w:val="41C8141C"/>
    <w:rsid w:val="424E37D0"/>
    <w:rsid w:val="42720BD2"/>
    <w:rsid w:val="431B5DA8"/>
    <w:rsid w:val="43A93B2E"/>
    <w:rsid w:val="43BA2D6C"/>
    <w:rsid w:val="44093F6D"/>
    <w:rsid w:val="447B1322"/>
    <w:rsid w:val="45B029AB"/>
    <w:rsid w:val="45BF5DEC"/>
    <w:rsid w:val="46E95FE2"/>
    <w:rsid w:val="46F33315"/>
    <w:rsid w:val="474B29D4"/>
    <w:rsid w:val="476E4960"/>
    <w:rsid w:val="478A6ADC"/>
    <w:rsid w:val="47BE7385"/>
    <w:rsid w:val="47E70698"/>
    <w:rsid w:val="47FEEBE2"/>
    <w:rsid w:val="48035D61"/>
    <w:rsid w:val="487B7DFA"/>
    <w:rsid w:val="48B63AC7"/>
    <w:rsid w:val="48D34602"/>
    <w:rsid w:val="48E95993"/>
    <w:rsid w:val="4993C127"/>
    <w:rsid w:val="49BFCE03"/>
    <w:rsid w:val="49D075DE"/>
    <w:rsid w:val="49D62A28"/>
    <w:rsid w:val="4A38723F"/>
    <w:rsid w:val="4A903009"/>
    <w:rsid w:val="4AA414E3"/>
    <w:rsid w:val="4ABF3E1A"/>
    <w:rsid w:val="4B35548C"/>
    <w:rsid w:val="4B4A0691"/>
    <w:rsid w:val="4BA73141"/>
    <w:rsid w:val="4BCFCA62"/>
    <w:rsid w:val="4BD76660"/>
    <w:rsid w:val="4BFBDD1F"/>
    <w:rsid w:val="4C3D4C07"/>
    <w:rsid w:val="4C436D60"/>
    <w:rsid w:val="4C781A7F"/>
    <w:rsid w:val="4C7909AB"/>
    <w:rsid w:val="4C820C46"/>
    <w:rsid w:val="4D05388B"/>
    <w:rsid w:val="4D063625"/>
    <w:rsid w:val="4D5F205A"/>
    <w:rsid w:val="4D9F4BE9"/>
    <w:rsid w:val="4DEDA348"/>
    <w:rsid w:val="4E1FA159"/>
    <w:rsid w:val="4E465BEB"/>
    <w:rsid w:val="4E55437F"/>
    <w:rsid w:val="4E5D709A"/>
    <w:rsid w:val="4EDA610D"/>
    <w:rsid w:val="4EEE8D3B"/>
    <w:rsid w:val="4EFA6E6F"/>
    <w:rsid w:val="4EFC1648"/>
    <w:rsid w:val="4F36234C"/>
    <w:rsid w:val="4F604B42"/>
    <w:rsid w:val="4F761BB4"/>
    <w:rsid w:val="4FA20EC6"/>
    <w:rsid w:val="4FCFF7C6"/>
    <w:rsid w:val="4FF053FA"/>
    <w:rsid w:val="4FF7B11A"/>
    <w:rsid w:val="4FFB12DC"/>
    <w:rsid w:val="50A63200"/>
    <w:rsid w:val="511555E4"/>
    <w:rsid w:val="51AB3AE0"/>
    <w:rsid w:val="51D0212F"/>
    <w:rsid w:val="52652E9F"/>
    <w:rsid w:val="5287783D"/>
    <w:rsid w:val="53357614"/>
    <w:rsid w:val="53647C6D"/>
    <w:rsid w:val="53AE1680"/>
    <w:rsid w:val="53FF05A4"/>
    <w:rsid w:val="541E9C06"/>
    <w:rsid w:val="54273E81"/>
    <w:rsid w:val="545D5317"/>
    <w:rsid w:val="546926EB"/>
    <w:rsid w:val="54854A33"/>
    <w:rsid w:val="54AF247D"/>
    <w:rsid w:val="54B75511"/>
    <w:rsid w:val="54DF40B8"/>
    <w:rsid w:val="556249DA"/>
    <w:rsid w:val="559B4B26"/>
    <w:rsid w:val="55B54A0F"/>
    <w:rsid w:val="55EFA165"/>
    <w:rsid w:val="55F8E313"/>
    <w:rsid w:val="56510FA5"/>
    <w:rsid w:val="57360B98"/>
    <w:rsid w:val="573F05D6"/>
    <w:rsid w:val="57562841"/>
    <w:rsid w:val="578F4024"/>
    <w:rsid w:val="578F46E5"/>
    <w:rsid w:val="57CAAD92"/>
    <w:rsid w:val="57DB954A"/>
    <w:rsid w:val="57DF3EFD"/>
    <w:rsid w:val="57E04A72"/>
    <w:rsid w:val="57ED8C9C"/>
    <w:rsid w:val="57EF87CF"/>
    <w:rsid w:val="57FC0F1D"/>
    <w:rsid w:val="58022C3B"/>
    <w:rsid w:val="581F784F"/>
    <w:rsid w:val="582032F4"/>
    <w:rsid w:val="585D442D"/>
    <w:rsid w:val="58A1064E"/>
    <w:rsid w:val="58C737C8"/>
    <w:rsid w:val="58E4577D"/>
    <w:rsid w:val="59091B70"/>
    <w:rsid w:val="59376442"/>
    <w:rsid w:val="595EA558"/>
    <w:rsid w:val="597A7443"/>
    <w:rsid w:val="597D2765"/>
    <w:rsid w:val="59802770"/>
    <w:rsid w:val="598B728E"/>
    <w:rsid w:val="59A12C39"/>
    <w:rsid w:val="59BD86F0"/>
    <w:rsid w:val="59E24AD2"/>
    <w:rsid w:val="59F54A5D"/>
    <w:rsid w:val="59F80C76"/>
    <w:rsid w:val="59F976F3"/>
    <w:rsid w:val="5AF53734"/>
    <w:rsid w:val="5BC5549E"/>
    <w:rsid w:val="5BC83892"/>
    <w:rsid w:val="5BDDE3F1"/>
    <w:rsid w:val="5BFFC12F"/>
    <w:rsid w:val="5CD7AB05"/>
    <w:rsid w:val="5CEB201D"/>
    <w:rsid w:val="5CEB54A9"/>
    <w:rsid w:val="5D3F3A7E"/>
    <w:rsid w:val="5D5FBB80"/>
    <w:rsid w:val="5D690368"/>
    <w:rsid w:val="5D7F3BBA"/>
    <w:rsid w:val="5DB13B65"/>
    <w:rsid w:val="5DB7EE42"/>
    <w:rsid w:val="5DBA3B41"/>
    <w:rsid w:val="5DBF1417"/>
    <w:rsid w:val="5DEF31D6"/>
    <w:rsid w:val="5E05D954"/>
    <w:rsid w:val="5E5BAF03"/>
    <w:rsid w:val="5E6261E1"/>
    <w:rsid w:val="5E7BFBC1"/>
    <w:rsid w:val="5EAF45D0"/>
    <w:rsid w:val="5ED5FD05"/>
    <w:rsid w:val="5EF37781"/>
    <w:rsid w:val="5EF7BBE2"/>
    <w:rsid w:val="5EFDC3BF"/>
    <w:rsid w:val="5EFF6383"/>
    <w:rsid w:val="5EFF9072"/>
    <w:rsid w:val="5F2C5541"/>
    <w:rsid w:val="5F320455"/>
    <w:rsid w:val="5F3D5786"/>
    <w:rsid w:val="5F3FCFD6"/>
    <w:rsid w:val="5F5F6C51"/>
    <w:rsid w:val="5F6F4783"/>
    <w:rsid w:val="5F764E2F"/>
    <w:rsid w:val="5FBBA9E2"/>
    <w:rsid w:val="5FBBBF2C"/>
    <w:rsid w:val="5FBF2A06"/>
    <w:rsid w:val="5FBF5A58"/>
    <w:rsid w:val="5FC538EF"/>
    <w:rsid w:val="5FD363E8"/>
    <w:rsid w:val="5FEEC3D3"/>
    <w:rsid w:val="5FEFADBD"/>
    <w:rsid w:val="5FF7AFBA"/>
    <w:rsid w:val="5FFB6E21"/>
    <w:rsid w:val="5FFD3886"/>
    <w:rsid w:val="5FFE124F"/>
    <w:rsid w:val="5FFE3B0F"/>
    <w:rsid w:val="5FFEF5C5"/>
    <w:rsid w:val="5FFFF756"/>
    <w:rsid w:val="5FFFFFE8"/>
    <w:rsid w:val="607641C6"/>
    <w:rsid w:val="608F54AC"/>
    <w:rsid w:val="60B62E5B"/>
    <w:rsid w:val="60D5478F"/>
    <w:rsid w:val="60ED0EDD"/>
    <w:rsid w:val="617A7CE6"/>
    <w:rsid w:val="619B0CC2"/>
    <w:rsid w:val="62076D44"/>
    <w:rsid w:val="62295952"/>
    <w:rsid w:val="6334648B"/>
    <w:rsid w:val="63EA76B1"/>
    <w:rsid w:val="64246536"/>
    <w:rsid w:val="649A6A46"/>
    <w:rsid w:val="652E7A0E"/>
    <w:rsid w:val="653F3FFC"/>
    <w:rsid w:val="65476131"/>
    <w:rsid w:val="65657FEC"/>
    <w:rsid w:val="65B41C90"/>
    <w:rsid w:val="65DBE0DD"/>
    <w:rsid w:val="65DC61D2"/>
    <w:rsid w:val="65EFD838"/>
    <w:rsid w:val="6795529B"/>
    <w:rsid w:val="679DD26A"/>
    <w:rsid w:val="67D6CA6A"/>
    <w:rsid w:val="67FB3A98"/>
    <w:rsid w:val="67FDE287"/>
    <w:rsid w:val="6837C59B"/>
    <w:rsid w:val="689520A9"/>
    <w:rsid w:val="68F322D0"/>
    <w:rsid w:val="692FAD7E"/>
    <w:rsid w:val="69463C67"/>
    <w:rsid w:val="69BD4793"/>
    <w:rsid w:val="69DFA300"/>
    <w:rsid w:val="69F1E841"/>
    <w:rsid w:val="6A2F8C49"/>
    <w:rsid w:val="6A3326F9"/>
    <w:rsid w:val="6A775A82"/>
    <w:rsid w:val="6A7FC8FD"/>
    <w:rsid w:val="6A8219B9"/>
    <w:rsid w:val="6A931074"/>
    <w:rsid w:val="6ACF4E1A"/>
    <w:rsid w:val="6AD83DCE"/>
    <w:rsid w:val="6ADC3625"/>
    <w:rsid w:val="6AEF39A9"/>
    <w:rsid w:val="6AFC0A9B"/>
    <w:rsid w:val="6B253F54"/>
    <w:rsid w:val="6B3D68C5"/>
    <w:rsid w:val="6B543355"/>
    <w:rsid w:val="6B5B55D7"/>
    <w:rsid w:val="6B6E2568"/>
    <w:rsid w:val="6B7F741E"/>
    <w:rsid w:val="6BA5305C"/>
    <w:rsid w:val="6BA936A1"/>
    <w:rsid w:val="6BBB5A72"/>
    <w:rsid w:val="6BF773C0"/>
    <w:rsid w:val="6BFE9486"/>
    <w:rsid w:val="6BFF2EB4"/>
    <w:rsid w:val="6CAF2C37"/>
    <w:rsid w:val="6CC913D9"/>
    <w:rsid w:val="6CEF77DA"/>
    <w:rsid w:val="6CF2763A"/>
    <w:rsid w:val="6CFE918E"/>
    <w:rsid w:val="6D1E63F7"/>
    <w:rsid w:val="6D5EC4D4"/>
    <w:rsid w:val="6D7F7778"/>
    <w:rsid w:val="6D7FECFB"/>
    <w:rsid w:val="6D8F638A"/>
    <w:rsid w:val="6D9ED733"/>
    <w:rsid w:val="6DAFA8A3"/>
    <w:rsid w:val="6DBEE0FA"/>
    <w:rsid w:val="6DCC2C8F"/>
    <w:rsid w:val="6DCFBCF4"/>
    <w:rsid w:val="6DE9391D"/>
    <w:rsid w:val="6DEBEF5F"/>
    <w:rsid w:val="6DEFE7A1"/>
    <w:rsid w:val="6DFB4C16"/>
    <w:rsid w:val="6DFDAD6E"/>
    <w:rsid w:val="6DFE020C"/>
    <w:rsid w:val="6E9437BA"/>
    <w:rsid w:val="6E9D1469"/>
    <w:rsid w:val="6EBDC999"/>
    <w:rsid w:val="6EDB02C9"/>
    <w:rsid w:val="6EDB45EB"/>
    <w:rsid w:val="6EF71EAB"/>
    <w:rsid w:val="6EF9E97A"/>
    <w:rsid w:val="6F153E2D"/>
    <w:rsid w:val="6F16649F"/>
    <w:rsid w:val="6F328ABB"/>
    <w:rsid w:val="6F5E4C74"/>
    <w:rsid w:val="6F6F784E"/>
    <w:rsid w:val="6F7752DA"/>
    <w:rsid w:val="6F7C14A3"/>
    <w:rsid w:val="6F7F3900"/>
    <w:rsid w:val="6FB337F7"/>
    <w:rsid w:val="6FBC404B"/>
    <w:rsid w:val="6FBDEE6D"/>
    <w:rsid w:val="6FBE0D02"/>
    <w:rsid w:val="6FBF89C3"/>
    <w:rsid w:val="6FDB726B"/>
    <w:rsid w:val="6FE78F42"/>
    <w:rsid w:val="6FEF5A28"/>
    <w:rsid w:val="6FF1E662"/>
    <w:rsid w:val="6FF74B7A"/>
    <w:rsid w:val="6FF7F4BF"/>
    <w:rsid w:val="6FFB615A"/>
    <w:rsid w:val="6FFD9EE6"/>
    <w:rsid w:val="6FFEFEEF"/>
    <w:rsid w:val="6FFFFD7A"/>
    <w:rsid w:val="706A0714"/>
    <w:rsid w:val="70C41C61"/>
    <w:rsid w:val="70EF1DD3"/>
    <w:rsid w:val="710E62CD"/>
    <w:rsid w:val="71497328"/>
    <w:rsid w:val="715E0A8A"/>
    <w:rsid w:val="715F6DD3"/>
    <w:rsid w:val="7180424A"/>
    <w:rsid w:val="719170B1"/>
    <w:rsid w:val="71EDBADA"/>
    <w:rsid w:val="71F71407"/>
    <w:rsid w:val="71FF0D9E"/>
    <w:rsid w:val="725F24F8"/>
    <w:rsid w:val="72663F13"/>
    <w:rsid w:val="729631D4"/>
    <w:rsid w:val="72FF0F00"/>
    <w:rsid w:val="738BCD03"/>
    <w:rsid w:val="739E0E65"/>
    <w:rsid w:val="73AF3EBB"/>
    <w:rsid w:val="73D5FF61"/>
    <w:rsid w:val="73DD7D09"/>
    <w:rsid w:val="73E26947"/>
    <w:rsid w:val="73E96FA8"/>
    <w:rsid w:val="73EF8DFB"/>
    <w:rsid w:val="73F73064"/>
    <w:rsid w:val="73F9438B"/>
    <w:rsid w:val="73FF8307"/>
    <w:rsid w:val="73FFD717"/>
    <w:rsid w:val="74371495"/>
    <w:rsid w:val="745EBB52"/>
    <w:rsid w:val="74850B99"/>
    <w:rsid w:val="74FB8C52"/>
    <w:rsid w:val="74FFD37E"/>
    <w:rsid w:val="753F16B9"/>
    <w:rsid w:val="75660855"/>
    <w:rsid w:val="75757409"/>
    <w:rsid w:val="759FF5C7"/>
    <w:rsid w:val="75AFBB18"/>
    <w:rsid w:val="75EA3234"/>
    <w:rsid w:val="75F039AE"/>
    <w:rsid w:val="75F28007"/>
    <w:rsid w:val="75F770A9"/>
    <w:rsid w:val="75F79B2B"/>
    <w:rsid w:val="75FFDAB8"/>
    <w:rsid w:val="76102BC1"/>
    <w:rsid w:val="767E98D6"/>
    <w:rsid w:val="76880DEB"/>
    <w:rsid w:val="76FB24F0"/>
    <w:rsid w:val="76FF3F14"/>
    <w:rsid w:val="76FF6F83"/>
    <w:rsid w:val="76FFA3F1"/>
    <w:rsid w:val="770F549A"/>
    <w:rsid w:val="77171B2C"/>
    <w:rsid w:val="772CE78E"/>
    <w:rsid w:val="774E77F3"/>
    <w:rsid w:val="777E658E"/>
    <w:rsid w:val="777F5534"/>
    <w:rsid w:val="778919AE"/>
    <w:rsid w:val="77A21312"/>
    <w:rsid w:val="77AF758C"/>
    <w:rsid w:val="77B32053"/>
    <w:rsid w:val="77B9DE91"/>
    <w:rsid w:val="77BE301B"/>
    <w:rsid w:val="77BF5305"/>
    <w:rsid w:val="77CBE300"/>
    <w:rsid w:val="77D71E68"/>
    <w:rsid w:val="77DD4242"/>
    <w:rsid w:val="77DD45D6"/>
    <w:rsid w:val="77E59C67"/>
    <w:rsid w:val="77ED3E1B"/>
    <w:rsid w:val="77EE414C"/>
    <w:rsid w:val="77F78BFC"/>
    <w:rsid w:val="77F9F4C0"/>
    <w:rsid w:val="77FA60A7"/>
    <w:rsid w:val="77FBF247"/>
    <w:rsid w:val="77FDAF7D"/>
    <w:rsid w:val="77FFB6AA"/>
    <w:rsid w:val="78552B9E"/>
    <w:rsid w:val="78DD0B5F"/>
    <w:rsid w:val="78F05883"/>
    <w:rsid w:val="79235EE0"/>
    <w:rsid w:val="7977ECB7"/>
    <w:rsid w:val="798EC10D"/>
    <w:rsid w:val="79BEA83D"/>
    <w:rsid w:val="79DBBC9B"/>
    <w:rsid w:val="79DE0E8D"/>
    <w:rsid w:val="79DE586D"/>
    <w:rsid w:val="79DF036E"/>
    <w:rsid w:val="79FEF75E"/>
    <w:rsid w:val="7A6A32E4"/>
    <w:rsid w:val="7A76841E"/>
    <w:rsid w:val="7A950493"/>
    <w:rsid w:val="7A9E614A"/>
    <w:rsid w:val="7AAE107F"/>
    <w:rsid w:val="7AF1471D"/>
    <w:rsid w:val="7AF16E13"/>
    <w:rsid w:val="7AF79F2C"/>
    <w:rsid w:val="7B399E85"/>
    <w:rsid w:val="7B5D1E50"/>
    <w:rsid w:val="7B5D39D7"/>
    <w:rsid w:val="7B685862"/>
    <w:rsid w:val="7B6C9712"/>
    <w:rsid w:val="7B7733A7"/>
    <w:rsid w:val="7B7D9B3B"/>
    <w:rsid w:val="7B7FD853"/>
    <w:rsid w:val="7B9DCC81"/>
    <w:rsid w:val="7B9EE75A"/>
    <w:rsid w:val="7BADA370"/>
    <w:rsid w:val="7BB61AE4"/>
    <w:rsid w:val="7BC938EC"/>
    <w:rsid w:val="7BCEA19D"/>
    <w:rsid w:val="7BD31845"/>
    <w:rsid w:val="7BD72081"/>
    <w:rsid w:val="7BDB55B7"/>
    <w:rsid w:val="7BDD3360"/>
    <w:rsid w:val="7BF76DCA"/>
    <w:rsid w:val="7BF85C4B"/>
    <w:rsid w:val="7BFB3F20"/>
    <w:rsid w:val="7BFCE4AE"/>
    <w:rsid w:val="7BFD5920"/>
    <w:rsid w:val="7BFEC9D7"/>
    <w:rsid w:val="7BFF68E6"/>
    <w:rsid w:val="7BFF8B89"/>
    <w:rsid w:val="7BFFC05A"/>
    <w:rsid w:val="7BFFD5C8"/>
    <w:rsid w:val="7C5F31B3"/>
    <w:rsid w:val="7C647170"/>
    <w:rsid w:val="7C7C7257"/>
    <w:rsid w:val="7CF3F8A4"/>
    <w:rsid w:val="7CFFB483"/>
    <w:rsid w:val="7D113698"/>
    <w:rsid w:val="7D276B1C"/>
    <w:rsid w:val="7D664357"/>
    <w:rsid w:val="7D6C09D3"/>
    <w:rsid w:val="7D7397CD"/>
    <w:rsid w:val="7D9F1D50"/>
    <w:rsid w:val="7D9F9943"/>
    <w:rsid w:val="7D9FD152"/>
    <w:rsid w:val="7DA707E9"/>
    <w:rsid w:val="7DB71602"/>
    <w:rsid w:val="7DB71683"/>
    <w:rsid w:val="7DDFBA52"/>
    <w:rsid w:val="7DEF533B"/>
    <w:rsid w:val="7DFBFBF0"/>
    <w:rsid w:val="7DFE4F9E"/>
    <w:rsid w:val="7E39451D"/>
    <w:rsid w:val="7E3FEF6F"/>
    <w:rsid w:val="7E574E3B"/>
    <w:rsid w:val="7E5D97EC"/>
    <w:rsid w:val="7E7F18FC"/>
    <w:rsid w:val="7E9BF525"/>
    <w:rsid w:val="7EAF9274"/>
    <w:rsid w:val="7EDB293F"/>
    <w:rsid w:val="7EE50868"/>
    <w:rsid w:val="7EEF207F"/>
    <w:rsid w:val="7EEF881C"/>
    <w:rsid w:val="7EF1D6E1"/>
    <w:rsid w:val="7EF69DD9"/>
    <w:rsid w:val="7EF73861"/>
    <w:rsid w:val="7EF86F7C"/>
    <w:rsid w:val="7EFD479B"/>
    <w:rsid w:val="7EFDE0A3"/>
    <w:rsid w:val="7EFF12DD"/>
    <w:rsid w:val="7EFF4FBD"/>
    <w:rsid w:val="7EFF5D31"/>
    <w:rsid w:val="7EFF7C6D"/>
    <w:rsid w:val="7F163BB5"/>
    <w:rsid w:val="7F18F5B4"/>
    <w:rsid w:val="7F22498F"/>
    <w:rsid w:val="7F2AD7E1"/>
    <w:rsid w:val="7F3B56CE"/>
    <w:rsid w:val="7F3E9BF3"/>
    <w:rsid w:val="7F5DDFF1"/>
    <w:rsid w:val="7F735836"/>
    <w:rsid w:val="7F769BBC"/>
    <w:rsid w:val="7F771ECC"/>
    <w:rsid w:val="7F7A793E"/>
    <w:rsid w:val="7F7FB77C"/>
    <w:rsid w:val="7F9F3134"/>
    <w:rsid w:val="7FA347DA"/>
    <w:rsid w:val="7FA7E915"/>
    <w:rsid w:val="7FACECB8"/>
    <w:rsid w:val="7FAD76CC"/>
    <w:rsid w:val="7FAF996B"/>
    <w:rsid w:val="7FB3B51C"/>
    <w:rsid w:val="7FB447B5"/>
    <w:rsid w:val="7FBD592E"/>
    <w:rsid w:val="7FBF955D"/>
    <w:rsid w:val="7FBFA0C2"/>
    <w:rsid w:val="7FBFCABC"/>
    <w:rsid w:val="7FC66FCA"/>
    <w:rsid w:val="7FD3F847"/>
    <w:rsid w:val="7FD45506"/>
    <w:rsid w:val="7FD4B104"/>
    <w:rsid w:val="7FD71B34"/>
    <w:rsid w:val="7FD8519C"/>
    <w:rsid w:val="7FDB1292"/>
    <w:rsid w:val="7FDD8C1F"/>
    <w:rsid w:val="7FDDB5BC"/>
    <w:rsid w:val="7FDF7F31"/>
    <w:rsid w:val="7FE20A3A"/>
    <w:rsid w:val="7FE326F3"/>
    <w:rsid w:val="7FE3D8D0"/>
    <w:rsid w:val="7FE7748A"/>
    <w:rsid w:val="7FE94A4D"/>
    <w:rsid w:val="7FE995CA"/>
    <w:rsid w:val="7FEB0808"/>
    <w:rsid w:val="7FEF5E32"/>
    <w:rsid w:val="7FEF5FDC"/>
    <w:rsid w:val="7FEF8642"/>
    <w:rsid w:val="7FF0B356"/>
    <w:rsid w:val="7FF33873"/>
    <w:rsid w:val="7FF6365A"/>
    <w:rsid w:val="7FF72735"/>
    <w:rsid w:val="7FF72CDC"/>
    <w:rsid w:val="7FF7800F"/>
    <w:rsid w:val="7FF99982"/>
    <w:rsid w:val="7FFB67A3"/>
    <w:rsid w:val="7FFBB09A"/>
    <w:rsid w:val="7FFD9099"/>
    <w:rsid w:val="7FFDB96C"/>
    <w:rsid w:val="7FFE9869"/>
    <w:rsid w:val="7FFF49F5"/>
    <w:rsid w:val="7FFF6655"/>
    <w:rsid w:val="7FFFEC43"/>
    <w:rsid w:val="83BEDB3D"/>
    <w:rsid w:val="83D4B481"/>
    <w:rsid w:val="85FEA7A6"/>
    <w:rsid w:val="87F75B18"/>
    <w:rsid w:val="8AD7CE3F"/>
    <w:rsid w:val="8BFFB9CA"/>
    <w:rsid w:val="8FF305EB"/>
    <w:rsid w:val="94AB2C84"/>
    <w:rsid w:val="959D12CA"/>
    <w:rsid w:val="95F70FE1"/>
    <w:rsid w:val="96FF9012"/>
    <w:rsid w:val="97FF78C4"/>
    <w:rsid w:val="99FE8099"/>
    <w:rsid w:val="9AFC3513"/>
    <w:rsid w:val="9AFF8BCA"/>
    <w:rsid w:val="9B4BAD6C"/>
    <w:rsid w:val="9BFDA259"/>
    <w:rsid w:val="9CBF0F03"/>
    <w:rsid w:val="9D2D47C4"/>
    <w:rsid w:val="9D7B5D1B"/>
    <w:rsid w:val="9D9F255B"/>
    <w:rsid w:val="9E7F1DB2"/>
    <w:rsid w:val="9EADF76F"/>
    <w:rsid w:val="9EBD785B"/>
    <w:rsid w:val="9F3EF130"/>
    <w:rsid w:val="9FDBBFC3"/>
    <w:rsid w:val="9FFEB8F0"/>
    <w:rsid w:val="A23E1526"/>
    <w:rsid w:val="A3B5556A"/>
    <w:rsid w:val="A77FF401"/>
    <w:rsid w:val="A7D34179"/>
    <w:rsid w:val="A7EDE9B2"/>
    <w:rsid w:val="A7FF19A5"/>
    <w:rsid w:val="A97F0064"/>
    <w:rsid w:val="AAD598A5"/>
    <w:rsid w:val="ABBA846B"/>
    <w:rsid w:val="ABEF8BC2"/>
    <w:rsid w:val="ABFA057E"/>
    <w:rsid w:val="AD3B0B28"/>
    <w:rsid w:val="AD765A0F"/>
    <w:rsid w:val="ADEF9B96"/>
    <w:rsid w:val="ADF3C6B9"/>
    <w:rsid w:val="ADF79596"/>
    <w:rsid w:val="ADFFD841"/>
    <w:rsid w:val="AE6E3581"/>
    <w:rsid w:val="AE77559C"/>
    <w:rsid w:val="AEDF4401"/>
    <w:rsid w:val="AF2B2F4A"/>
    <w:rsid w:val="AF6FF8AB"/>
    <w:rsid w:val="AF8F3A78"/>
    <w:rsid w:val="AF9676BD"/>
    <w:rsid w:val="AFABBA0C"/>
    <w:rsid w:val="AFBF54A7"/>
    <w:rsid w:val="AFDB3957"/>
    <w:rsid w:val="AFE791F9"/>
    <w:rsid w:val="AFEF90C1"/>
    <w:rsid w:val="AFF998D8"/>
    <w:rsid w:val="AFFF7002"/>
    <w:rsid w:val="B1EF19F7"/>
    <w:rsid w:val="B25F5FC5"/>
    <w:rsid w:val="B3EF832F"/>
    <w:rsid w:val="B3FC031A"/>
    <w:rsid w:val="B57643C6"/>
    <w:rsid w:val="B576D4DB"/>
    <w:rsid w:val="B5BFC2CB"/>
    <w:rsid w:val="B6FF0518"/>
    <w:rsid w:val="B77DDB78"/>
    <w:rsid w:val="B7CE596F"/>
    <w:rsid w:val="B7EA8F14"/>
    <w:rsid w:val="B7EFC732"/>
    <w:rsid w:val="B96F6854"/>
    <w:rsid w:val="B9BD1094"/>
    <w:rsid w:val="B9F7DE93"/>
    <w:rsid w:val="B9FBDB4D"/>
    <w:rsid w:val="BAF464FB"/>
    <w:rsid w:val="BB7EFF8D"/>
    <w:rsid w:val="BBA91A8B"/>
    <w:rsid w:val="BBED6748"/>
    <w:rsid w:val="BBEFD724"/>
    <w:rsid w:val="BBFE069E"/>
    <w:rsid w:val="BD736A6B"/>
    <w:rsid w:val="BD87DE3A"/>
    <w:rsid w:val="BDF7E8C8"/>
    <w:rsid w:val="BDFA149E"/>
    <w:rsid w:val="BDFDC36B"/>
    <w:rsid w:val="BDFF8D1E"/>
    <w:rsid w:val="BEBFA559"/>
    <w:rsid w:val="BEFF70B5"/>
    <w:rsid w:val="BEFFCE99"/>
    <w:rsid w:val="BF063145"/>
    <w:rsid w:val="BF1AA8EA"/>
    <w:rsid w:val="BF2DF3B4"/>
    <w:rsid w:val="BF7D91BB"/>
    <w:rsid w:val="BF7FFF8D"/>
    <w:rsid w:val="BF994F17"/>
    <w:rsid w:val="BFB9C357"/>
    <w:rsid w:val="BFCBA871"/>
    <w:rsid w:val="BFCF238F"/>
    <w:rsid w:val="BFDE4D4B"/>
    <w:rsid w:val="BFDFA46F"/>
    <w:rsid w:val="BFED5BEF"/>
    <w:rsid w:val="BFEE4304"/>
    <w:rsid w:val="BFF10316"/>
    <w:rsid w:val="BFF26BCE"/>
    <w:rsid w:val="BFF76318"/>
    <w:rsid w:val="BFFAFA15"/>
    <w:rsid w:val="BFFEDB7F"/>
    <w:rsid w:val="BFFF15EA"/>
    <w:rsid w:val="C57F6E75"/>
    <w:rsid w:val="C7FD4BE0"/>
    <w:rsid w:val="C7FF9DF7"/>
    <w:rsid w:val="C97F6EFD"/>
    <w:rsid w:val="CAF9B675"/>
    <w:rsid w:val="CB1FC8D6"/>
    <w:rsid w:val="CB3761FB"/>
    <w:rsid w:val="CBF2870D"/>
    <w:rsid w:val="CBF6B941"/>
    <w:rsid w:val="CC5B9250"/>
    <w:rsid w:val="CD37127D"/>
    <w:rsid w:val="CDFD7703"/>
    <w:rsid w:val="CEEB0C1F"/>
    <w:rsid w:val="CF6539CD"/>
    <w:rsid w:val="CFAB172A"/>
    <w:rsid w:val="CFCF3960"/>
    <w:rsid w:val="CFEF8FCF"/>
    <w:rsid w:val="CFFD21FE"/>
    <w:rsid w:val="CFFF25E4"/>
    <w:rsid w:val="D15EAA59"/>
    <w:rsid w:val="D2F21BB4"/>
    <w:rsid w:val="D3EDD244"/>
    <w:rsid w:val="D575D82D"/>
    <w:rsid w:val="D59D7BF0"/>
    <w:rsid w:val="D6FB5306"/>
    <w:rsid w:val="D72FAD88"/>
    <w:rsid w:val="D75FD9AB"/>
    <w:rsid w:val="D76F95EC"/>
    <w:rsid w:val="D7774FD3"/>
    <w:rsid w:val="D7B0554E"/>
    <w:rsid w:val="D7F79717"/>
    <w:rsid w:val="D9BF66DB"/>
    <w:rsid w:val="D9E46352"/>
    <w:rsid w:val="DA7A83F7"/>
    <w:rsid w:val="DA9EF24C"/>
    <w:rsid w:val="DAF6AF7A"/>
    <w:rsid w:val="DAFFB1D0"/>
    <w:rsid w:val="DB3FBD10"/>
    <w:rsid w:val="DBAB4F5D"/>
    <w:rsid w:val="DBD87040"/>
    <w:rsid w:val="DBE68CCF"/>
    <w:rsid w:val="DBEF4D2D"/>
    <w:rsid w:val="DBEF65CD"/>
    <w:rsid w:val="DBFF370A"/>
    <w:rsid w:val="DBFFA2A4"/>
    <w:rsid w:val="DC6E59D0"/>
    <w:rsid w:val="DD5C50B9"/>
    <w:rsid w:val="DD6B2410"/>
    <w:rsid w:val="DD6EDE6A"/>
    <w:rsid w:val="DD77D7B0"/>
    <w:rsid w:val="DD8656C8"/>
    <w:rsid w:val="DDA318C7"/>
    <w:rsid w:val="DDB9AE76"/>
    <w:rsid w:val="DDBF9FB2"/>
    <w:rsid w:val="DDCE5096"/>
    <w:rsid w:val="DDF7C605"/>
    <w:rsid w:val="DDFA6D58"/>
    <w:rsid w:val="DDFD230F"/>
    <w:rsid w:val="DE2F9AFB"/>
    <w:rsid w:val="DE3F99F5"/>
    <w:rsid w:val="DEBEE697"/>
    <w:rsid w:val="DEC26094"/>
    <w:rsid w:val="DEDF4250"/>
    <w:rsid w:val="DEF5216E"/>
    <w:rsid w:val="DEF7A654"/>
    <w:rsid w:val="DF2FA832"/>
    <w:rsid w:val="DF5F592C"/>
    <w:rsid w:val="DF8FA598"/>
    <w:rsid w:val="DFB5DB0F"/>
    <w:rsid w:val="DFB77E25"/>
    <w:rsid w:val="DFBDD81B"/>
    <w:rsid w:val="DFBF57F3"/>
    <w:rsid w:val="DFBFF089"/>
    <w:rsid w:val="DFD7746D"/>
    <w:rsid w:val="DFDEDA5F"/>
    <w:rsid w:val="DFDF3C82"/>
    <w:rsid w:val="DFDFDE90"/>
    <w:rsid w:val="DFDFE27D"/>
    <w:rsid w:val="DFEB213A"/>
    <w:rsid w:val="DFED77C7"/>
    <w:rsid w:val="DFEEFA38"/>
    <w:rsid w:val="DFEEFB22"/>
    <w:rsid w:val="DFF3C91A"/>
    <w:rsid w:val="DFF6F3A5"/>
    <w:rsid w:val="DFFA07FD"/>
    <w:rsid w:val="DFFA2D75"/>
    <w:rsid w:val="DFFBF4D1"/>
    <w:rsid w:val="DFFE4313"/>
    <w:rsid w:val="DFFF702E"/>
    <w:rsid w:val="E39BB526"/>
    <w:rsid w:val="E43FC34B"/>
    <w:rsid w:val="E5DF40C3"/>
    <w:rsid w:val="E6DF1CFC"/>
    <w:rsid w:val="E735532D"/>
    <w:rsid w:val="E73D039A"/>
    <w:rsid w:val="E76E1013"/>
    <w:rsid w:val="E79ED583"/>
    <w:rsid w:val="E7EB52EB"/>
    <w:rsid w:val="E7F7E5CC"/>
    <w:rsid w:val="E7FE6D83"/>
    <w:rsid w:val="E7FF3A84"/>
    <w:rsid w:val="E8ED9916"/>
    <w:rsid w:val="E98FF131"/>
    <w:rsid w:val="E9DF6D39"/>
    <w:rsid w:val="EAF758AD"/>
    <w:rsid w:val="EB5F3329"/>
    <w:rsid w:val="EB7EEFB7"/>
    <w:rsid w:val="EB979C0C"/>
    <w:rsid w:val="EBD9652B"/>
    <w:rsid w:val="EBDFE616"/>
    <w:rsid w:val="EBFCBAB8"/>
    <w:rsid w:val="EBFF6C8E"/>
    <w:rsid w:val="ECBE76D3"/>
    <w:rsid w:val="ECF577B3"/>
    <w:rsid w:val="ED577E89"/>
    <w:rsid w:val="ED68F157"/>
    <w:rsid w:val="ED7B462E"/>
    <w:rsid w:val="ED7F1ED7"/>
    <w:rsid w:val="ED9D544D"/>
    <w:rsid w:val="EDBF16DF"/>
    <w:rsid w:val="EDE7DDC2"/>
    <w:rsid w:val="EDFF86F3"/>
    <w:rsid w:val="EDFFBB68"/>
    <w:rsid w:val="EE7754EA"/>
    <w:rsid w:val="EEDBF6FA"/>
    <w:rsid w:val="EF38123B"/>
    <w:rsid w:val="EF5FEA3F"/>
    <w:rsid w:val="EF778E5E"/>
    <w:rsid w:val="EF78DC95"/>
    <w:rsid w:val="EF7B2FA3"/>
    <w:rsid w:val="EF7E8FB8"/>
    <w:rsid w:val="EF7FC4BA"/>
    <w:rsid w:val="EF7FEF8F"/>
    <w:rsid w:val="EF8D26AC"/>
    <w:rsid w:val="EF8F071C"/>
    <w:rsid w:val="EF9C01F2"/>
    <w:rsid w:val="EFAD0E40"/>
    <w:rsid w:val="EFBDB1EB"/>
    <w:rsid w:val="EFBE8E22"/>
    <w:rsid w:val="EFC7C56E"/>
    <w:rsid w:val="EFCC4DBC"/>
    <w:rsid w:val="EFCFD982"/>
    <w:rsid w:val="EFD3102C"/>
    <w:rsid w:val="EFD9263D"/>
    <w:rsid w:val="EFF37C23"/>
    <w:rsid w:val="EFF5E24B"/>
    <w:rsid w:val="EFF6CBC8"/>
    <w:rsid w:val="EFF8DAD3"/>
    <w:rsid w:val="EFF9CA4E"/>
    <w:rsid w:val="EFFB2F28"/>
    <w:rsid w:val="EFFD66AF"/>
    <w:rsid w:val="EFFDB081"/>
    <w:rsid w:val="EFFF6D96"/>
    <w:rsid w:val="EFFF87D0"/>
    <w:rsid w:val="F1FFFCEF"/>
    <w:rsid w:val="F26A128D"/>
    <w:rsid w:val="F2BC11D4"/>
    <w:rsid w:val="F2FFBC16"/>
    <w:rsid w:val="F37F1F58"/>
    <w:rsid w:val="F3BF3507"/>
    <w:rsid w:val="F3EF359F"/>
    <w:rsid w:val="F3EFAC4F"/>
    <w:rsid w:val="F4BF90E6"/>
    <w:rsid w:val="F4D5C158"/>
    <w:rsid w:val="F4FF391C"/>
    <w:rsid w:val="F55507A1"/>
    <w:rsid w:val="F57BE39F"/>
    <w:rsid w:val="F5AF45AA"/>
    <w:rsid w:val="F5ED771F"/>
    <w:rsid w:val="F5EF90E5"/>
    <w:rsid w:val="F5F8AC5F"/>
    <w:rsid w:val="F5FDC63B"/>
    <w:rsid w:val="F5FEB3E2"/>
    <w:rsid w:val="F5FED24D"/>
    <w:rsid w:val="F5FFBC31"/>
    <w:rsid w:val="F66FB86C"/>
    <w:rsid w:val="F67F4AFF"/>
    <w:rsid w:val="F6B3AD9C"/>
    <w:rsid w:val="F6BFE05B"/>
    <w:rsid w:val="F6DE4400"/>
    <w:rsid w:val="F6FF0E2D"/>
    <w:rsid w:val="F6FF1B61"/>
    <w:rsid w:val="F73F3559"/>
    <w:rsid w:val="F75E47CC"/>
    <w:rsid w:val="F77B667E"/>
    <w:rsid w:val="F77E6EE9"/>
    <w:rsid w:val="F7A7032A"/>
    <w:rsid w:val="F7AAD473"/>
    <w:rsid w:val="F7B8481A"/>
    <w:rsid w:val="F7BF14E8"/>
    <w:rsid w:val="F7D5A4C6"/>
    <w:rsid w:val="F7DA0F1F"/>
    <w:rsid w:val="F7DBA13A"/>
    <w:rsid w:val="F7E72052"/>
    <w:rsid w:val="F7EF2AA4"/>
    <w:rsid w:val="F7EF7210"/>
    <w:rsid w:val="F7F4381B"/>
    <w:rsid w:val="F7F4ED9D"/>
    <w:rsid w:val="F7F7FA09"/>
    <w:rsid w:val="F7F97F64"/>
    <w:rsid w:val="F7FC9816"/>
    <w:rsid w:val="F7FDFEF6"/>
    <w:rsid w:val="F7FF00FF"/>
    <w:rsid w:val="F7FFA3B4"/>
    <w:rsid w:val="F7FFDE0A"/>
    <w:rsid w:val="F8CE339A"/>
    <w:rsid w:val="F8E1696D"/>
    <w:rsid w:val="F8E72FBC"/>
    <w:rsid w:val="F8E926DA"/>
    <w:rsid w:val="F8F72762"/>
    <w:rsid w:val="F8FFB860"/>
    <w:rsid w:val="F8FFFCB8"/>
    <w:rsid w:val="F96391D7"/>
    <w:rsid w:val="F979C3FF"/>
    <w:rsid w:val="F99D1422"/>
    <w:rsid w:val="F9AE7B60"/>
    <w:rsid w:val="F9BB9B73"/>
    <w:rsid w:val="F9ECA15F"/>
    <w:rsid w:val="F9F2B893"/>
    <w:rsid w:val="F9F7E1DB"/>
    <w:rsid w:val="FA7E655D"/>
    <w:rsid w:val="FA91B2FF"/>
    <w:rsid w:val="FAE311DC"/>
    <w:rsid w:val="FAF3A2B8"/>
    <w:rsid w:val="FAF73488"/>
    <w:rsid w:val="FAF89CE2"/>
    <w:rsid w:val="FB3D5A79"/>
    <w:rsid w:val="FB7B39EC"/>
    <w:rsid w:val="FB7F007F"/>
    <w:rsid w:val="FB8BCD18"/>
    <w:rsid w:val="FBBA0A63"/>
    <w:rsid w:val="FBBD4B9B"/>
    <w:rsid w:val="FBBFB366"/>
    <w:rsid w:val="FBCF1F5C"/>
    <w:rsid w:val="FBDB4152"/>
    <w:rsid w:val="FBDD5EE7"/>
    <w:rsid w:val="FBDF2DE3"/>
    <w:rsid w:val="FBEF1ED7"/>
    <w:rsid w:val="FBF528D8"/>
    <w:rsid w:val="FBFA238F"/>
    <w:rsid w:val="FBFB71A4"/>
    <w:rsid w:val="FBFE0C2F"/>
    <w:rsid w:val="FC5D94A9"/>
    <w:rsid w:val="FC7B3AD9"/>
    <w:rsid w:val="FC7DF694"/>
    <w:rsid w:val="FCAFFB00"/>
    <w:rsid w:val="FCDAF472"/>
    <w:rsid w:val="FCDF4AE4"/>
    <w:rsid w:val="FCEFF07C"/>
    <w:rsid w:val="FCF32461"/>
    <w:rsid w:val="FCFD1734"/>
    <w:rsid w:val="FCFF3E5A"/>
    <w:rsid w:val="FD178F73"/>
    <w:rsid w:val="FD1D7257"/>
    <w:rsid w:val="FD4F16D0"/>
    <w:rsid w:val="FD5E23C2"/>
    <w:rsid w:val="FD5FEBF2"/>
    <w:rsid w:val="FD697480"/>
    <w:rsid w:val="FD6DD66A"/>
    <w:rsid w:val="FD7B82A7"/>
    <w:rsid w:val="FD7F4191"/>
    <w:rsid w:val="FD9B9E77"/>
    <w:rsid w:val="FD9E40CA"/>
    <w:rsid w:val="FDBBB8A3"/>
    <w:rsid w:val="FDBDE515"/>
    <w:rsid w:val="FDBFE221"/>
    <w:rsid w:val="FDC8B535"/>
    <w:rsid w:val="FDD0E238"/>
    <w:rsid w:val="FDD3A454"/>
    <w:rsid w:val="FDD607C7"/>
    <w:rsid w:val="FDDF3660"/>
    <w:rsid w:val="FDECAF8A"/>
    <w:rsid w:val="FDEF227E"/>
    <w:rsid w:val="FDEF528A"/>
    <w:rsid w:val="FDF5164C"/>
    <w:rsid w:val="FDFF6C20"/>
    <w:rsid w:val="FDFFE696"/>
    <w:rsid w:val="FDFFF106"/>
    <w:rsid w:val="FDFFFC40"/>
    <w:rsid w:val="FE27E66F"/>
    <w:rsid w:val="FE2F5D8D"/>
    <w:rsid w:val="FE4F03E4"/>
    <w:rsid w:val="FE5F56C4"/>
    <w:rsid w:val="FE6D1EC3"/>
    <w:rsid w:val="FE6F00C6"/>
    <w:rsid w:val="FE76D2FD"/>
    <w:rsid w:val="FE7F0B45"/>
    <w:rsid w:val="FEAFBBA7"/>
    <w:rsid w:val="FEBDEFB7"/>
    <w:rsid w:val="FEBFC8A4"/>
    <w:rsid w:val="FEBFDBE5"/>
    <w:rsid w:val="FEC561F0"/>
    <w:rsid w:val="FECF9FA0"/>
    <w:rsid w:val="FED9E6EC"/>
    <w:rsid w:val="FEDFC341"/>
    <w:rsid w:val="FEE7A4DA"/>
    <w:rsid w:val="FEEF3D3E"/>
    <w:rsid w:val="FEF50840"/>
    <w:rsid w:val="FEF78C4B"/>
    <w:rsid w:val="FEF7F5E9"/>
    <w:rsid w:val="FEFE6177"/>
    <w:rsid w:val="FEFF560E"/>
    <w:rsid w:val="FEFFE97B"/>
    <w:rsid w:val="FF376D4C"/>
    <w:rsid w:val="FF3A7B83"/>
    <w:rsid w:val="FF3B3AAB"/>
    <w:rsid w:val="FF553EB0"/>
    <w:rsid w:val="FF5E817C"/>
    <w:rsid w:val="FF5FAB37"/>
    <w:rsid w:val="FF5FC29B"/>
    <w:rsid w:val="FF6D5E43"/>
    <w:rsid w:val="FF6ED25F"/>
    <w:rsid w:val="FF6F4362"/>
    <w:rsid w:val="FF7A0088"/>
    <w:rsid w:val="FF7D0A8A"/>
    <w:rsid w:val="FF7F4440"/>
    <w:rsid w:val="FF7F4AA5"/>
    <w:rsid w:val="FF7F7F64"/>
    <w:rsid w:val="FF7FB947"/>
    <w:rsid w:val="FF7FD743"/>
    <w:rsid w:val="FF7FE765"/>
    <w:rsid w:val="FF9D7655"/>
    <w:rsid w:val="FF9F460B"/>
    <w:rsid w:val="FFA76379"/>
    <w:rsid w:val="FFB9632F"/>
    <w:rsid w:val="FFBBD846"/>
    <w:rsid w:val="FFBD8527"/>
    <w:rsid w:val="FFBED278"/>
    <w:rsid w:val="FFBF898C"/>
    <w:rsid w:val="FFCBBF76"/>
    <w:rsid w:val="FFCD4189"/>
    <w:rsid w:val="FFD6EA1C"/>
    <w:rsid w:val="FFDE7814"/>
    <w:rsid w:val="FFDED846"/>
    <w:rsid w:val="FFDF0D02"/>
    <w:rsid w:val="FFDF1DBA"/>
    <w:rsid w:val="FFDF2175"/>
    <w:rsid w:val="FFDF4A53"/>
    <w:rsid w:val="FFDFA782"/>
    <w:rsid w:val="FFEDC58A"/>
    <w:rsid w:val="FFEF7BC9"/>
    <w:rsid w:val="FFEFAF6C"/>
    <w:rsid w:val="FFF1FB07"/>
    <w:rsid w:val="FFF5DB2E"/>
    <w:rsid w:val="FFF65865"/>
    <w:rsid w:val="FFF710FA"/>
    <w:rsid w:val="FFF78DA9"/>
    <w:rsid w:val="FFF79A34"/>
    <w:rsid w:val="FFF7BD5E"/>
    <w:rsid w:val="FFF7CE18"/>
    <w:rsid w:val="FFF7ED7C"/>
    <w:rsid w:val="FFF971E9"/>
    <w:rsid w:val="FFF985EA"/>
    <w:rsid w:val="FFF9F32E"/>
    <w:rsid w:val="FFFB1164"/>
    <w:rsid w:val="FFFB3190"/>
    <w:rsid w:val="FFFB5CF5"/>
    <w:rsid w:val="FFFB655D"/>
    <w:rsid w:val="FFFC6085"/>
    <w:rsid w:val="FFFD923B"/>
    <w:rsid w:val="FFFDE852"/>
    <w:rsid w:val="FFFE2FFE"/>
    <w:rsid w:val="FFFEAF41"/>
    <w:rsid w:val="FFFEC9B2"/>
    <w:rsid w:val="FFFEE4EA"/>
    <w:rsid w:val="FFFF1A71"/>
    <w:rsid w:val="FFFFD4FC"/>
    <w:rsid w:val="FFFFDEDB"/>
    <w:rsid w:val="FFFFE19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pPr>
    <w:rPr>
      <w:rFonts w:ascii="仿宋_GB2312" w:hAnsi="仿宋_GB2312" w:eastAsia="仿宋_GB2312" w:cs="仿宋_GB2312"/>
      <w:sz w:val="22"/>
      <w:szCs w:val="22"/>
      <w:lang w:val="en-US" w:eastAsia="en-US" w:bidi="ar-SA"/>
    </w:rPr>
  </w:style>
  <w:style w:type="paragraph" w:styleId="2">
    <w:name w:val="heading 1"/>
    <w:basedOn w:val="1"/>
    <w:next w:val="1"/>
    <w:qFormat/>
    <w:uiPriority w:val="0"/>
    <w:pPr>
      <w:keepNext/>
      <w:keepLines/>
      <w:spacing w:before="340" w:after="330" w:line="576" w:lineRule="auto"/>
      <w:jc w:val="center"/>
      <w:outlineLvl w:val="0"/>
    </w:pPr>
    <w:rPr>
      <w:rFonts w:eastAsia="黑体"/>
      <w:b/>
      <w:kern w:val="44"/>
      <w:sz w:val="32"/>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qFormat/>
    <w:uiPriority w:val="0"/>
  </w:style>
  <w:style w:type="paragraph" w:styleId="4">
    <w:name w:val="Body Text"/>
    <w:basedOn w:val="1"/>
    <w:qFormat/>
    <w:uiPriority w:val="1"/>
    <w:pPr>
      <w:ind w:left="106"/>
    </w:pPr>
    <w:rPr>
      <w:sz w:val="32"/>
      <w:szCs w:val="32"/>
    </w:rPr>
  </w:style>
  <w:style w:type="paragraph" w:styleId="5">
    <w:name w:val="footer"/>
    <w:basedOn w:val="1"/>
    <w:qFormat/>
    <w:uiPriority w:val="0"/>
    <w:pPr>
      <w:tabs>
        <w:tab w:val="center" w:pos="4153"/>
        <w:tab w:val="right" w:pos="8306"/>
      </w:tabs>
      <w:snapToGrid w:val="0"/>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both"/>
    </w:pPr>
    <w:rPr>
      <w:sz w:val="18"/>
    </w:rPr>
  </w:style>
  <w:style w:type="paragraph" w:styleId="7">
    <w:name w:val="Title"/>
    <w:basedOn w:val="1"/>
    <w:qFormat/>
    <w:uiPriority w:val="1"/>
    <w:pPr>
      <w:spacing w:before="289"/>
      <w:ind w:left="323" w:right="510"/>
      <w:jc w:val="center"/>
    </w:pPr>
    <w:rPr>
      <w:rFonts w:ascii="方正小标宋_GBK" w:hAnsi="方正小标宋_GBK" w:eastAsia="方正小标宋_GBK" w:cs="方正小标宋_GBK"/>
      <w:sz w:val="44"/>
      <w:szCs w:val="44"/>
    </w:rPr>
  </w:style>
  <w:style w:type="table" w:customStyle="1" w:styleId="10">
    <w:name w:val="Table Normal"/>
    <w:semiHidden/>
    <w:unhideWhenUsed/>
    <w:qFormat/>
    <w:uiPriority w:val="2"/>
    <w:tblPr>
      <w:tblCellMar>
        <w:top w:w="0" w:type="dxa"/>
        <w:left w:w="0" w:type="dxa"/>
        <w:bottom w:w="0" w:type="dxa"/>
        <w:right w:w="0" w:type="dxa"/>
      </w:tblCellMar>
    </w:tblPr>
  </w:style>
  <w:style w:type="paragraph" w:styleId="11">
    <w:name w:val="List Paragraph"/>
    <w:basedOn w:val="1"/>
    <w:qFormat/>
    <w:uiPriority w:val="1"/>
  </w:style>
  <w:style w:type="paragraph" w:customStyle="1" w:styleId="12">
    <w:name w:val="Table Paragraph"/>
    <w:basedOn w:val="1"/>
    <w:qFormat/>
    <w:uiPriority w:val="1"/>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4945</Words>
  <Characters>4955</Characters>
  <Lines>1</Lines>
  <Paragraphs>1</Paragraphs>
  <TotalTime>26</TotalTime>
  <ScaleCrop>false</ScaleCrop>
  <LinksUpToDate>false</LinksUpToDate>
  <CharactersWithSpaces>4955</CharactersWithSpaces>
  <Application>WPS Office_12.1.2.24730_F1E327BC-269C-435d-A152-05C5408002CA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2025-10-02T02:37:00Z</dcterms:created>
  <dc:creator>ma520</dc:creator>
  <cp:lastModifiedBy> ._鬱悶</cp:lastModifiedBy>
  <cp:lastPrinted>2026-09-29T18:06:00Z</cp:lastPrinted>
  <dcterms:modified xsi:type="dcterms:W3CDTF">2026-09-29T17:33:39Z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2025-05-08T00:00:00Z</vt:filetime>
  </property>
  <property fmtid="{D5CDD505-2E9C-101B-9397-08002B2CF9AE}" pid="3" name="LastSaved">
    <vt:filetime>2025-05-20T00:00:00Z</vt:filetime>
  </property>
  <property fmtid="{D5CDD505-2E9C-101B-9397-08002B2CF9AE}" pid="4" name="KSOTemplateDocerSaveRecord">
    <vt:lpwstr>eyJoZGlkIjoiZjFmZWIzNDg2MmIzZjExOTIzMmViNTBmYTMwYTk0ZWYiLCJ1c2VySWQiOiI1MTI1MjQ5MjAifQ==</vt:lpwstr>
  </property>
  <property fmtid="{D5CDD505-2E9C-101B-9397-08002B2CF9AE}" pid="5" name="KSOProductBuildVer">
    <vt:lpwstr>2052-12.1.2.24730</vt:lpwstr>
  </property>
  <property fmtid="{D5CDD505-2E9C-101B-9397-08002B2CF9AE}" pid="6" name="ICV">
    <vt:lpwstr>D11A350A45704650183FBA6A1F81391E_43</vt:lpwstr>
  </property>
</Properties>
</file>