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深圳市福田区机关服务保障中心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章程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第一章  </w:t>
      </w:r>
      <w:r>
        <w:rPr>
          <w:rFonts w:hint="default" w:ascii="Times New Roman" w:hAnsi="Times New Roman" w:eastAsia="黑体" w:cs="Times New Roman"/>
          <w:sz w:val="32"/>
          <w:szCs w:val="32"/>
        </w:rPr>
        <w:t>总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则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第一条 </w:t>
      </w:r>
      <w:r>
        <w:rPr>
          <w:rFonts w:hint="default" w:ascii="Times New Roman" w:hAnsi="Times New Roman" w:cs="Times New Roman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加强党的全面领导、保障科学民主管理与依法依规运行有机统一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构建运行顺畅、协同高效、充满活力的事业单位现代治理机制。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《中国共产党机构编制工作条例》、《中华人民共和国民法典》、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《事业单位登记管理暂行条例》及其实施细则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国家有关法律法规及其他有关规定，制定本章程。</w:t>
      </w:r>
    </w:p>
    <w:p>
      <w:pPr>
        <w:widowControl w:val="0"/>
        <w:tabs>
          <w:tab w:val="left" w:pos="1260"/>
          <w:tab w:val="left" w:pos="1980"/>
        </w:tabs>
        <w:wordWrap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第二条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本单位名称是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深圳市福田区机关服务保障中心</w:t>
      </w:r>
      <w:r>
        <w:rPr>
          <w:rFonts w:hint="default" w:ascii="Times New Roman" w:hAnsi="Times New Roman" w:cs="Times New Roman"/>
          <w:szCs w:val="32"/>
          <w:u w:val="none"/>
        </w:rPr>
        <w:t xml:space="preserve"> 。</w:t>
      </w:r>
    </w:p>
    <w:p>
      <w:pPr>
        <w:widowControl w:val="0"/>
        <w:numPr>
          <w:ilvl w:val="0"/>
          <w:numId w:val="0"/>
        </w:numPr>
        <w:tabs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条 </w:t>
      </w:r>
      <w:r>
        <w:rPr>
          <w:rFonts w:hint="default" w:ascii="Times New Roman" w:hAnsi="Times New Roman" w:cs="Times New Roman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本单位住所是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深圳市福田区福民路123号福田区委大院综合楼526房</w:t>
      </w:r>
      <w:r>
        <w:rPr>
          <w:rFonts w:hint="default" w:ascii="Times New Roman" w:hAnsi="Times New Roman" w:cs="Times New Roman"/>
          <w:szCs w:val="32"/>
          <w:u w:val="none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eastAsia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eastAsia" w:eastAsia="黑体" w:cs="Times New Roman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本单位经费来源是</w:t>
      </w:r>
      <w:r>
        <w:rPr>
          <w:rFonts w:hint="eastAsia" w:cs="Times New Roman"/>
          <w:sz w:val="32"/>
          <w:szCs w:val="32"/>
          <w:lang w:eastAsia="zh-CN"/>
        </w:rPr>
        <w:t>：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（一）财政拨款。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）利息。</w:t>
      </w:r>
    </w:p>
    <w:p>
      <w:pPr>
        <w:widowControl w:val="0"/>
        <w:tabs>
          <w:tab w:val="left" w:pos="126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第五条 </w:t>
      </w:r>
      <w:r>
        <w:rPr>
          <w:rFonts w:hint="default" w:ascii="Times New Roman" w:hAnsi="Times New Roman" w:eastAsia="黑体" w:cs="Times New Roman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本单位开办资金为人民币</w:t>
      </w:r>
      <w:r>
        <w:rPr>
          <w:rFonts w:hint="default" w:ascii="Times New Roman" w:hAnsi="Times New Roman" w:cs="Times New Roman"/>
          <w:szCs w:val="32"/>
          <w:u w:val="single"/>
        </w:rPr>
        <w:t xml:space="preserve"> </w:t>
      </w:r>
      <w:r>
        <w:rPr>
          <w:rFonts w:hint="eastAsia" w:cs="Times New Roman"/>
          <w:szCs w:val="32"/>
          <w:u w:val="single"/>
          <w:lang w:val="en-US" w:eastAsia="zh-CN"/>
        </w:rPr>
        <w:t>200</w:t>
      </w:r>
      <w:r>
        <w:rPr>
          <w:rFonts w:hint="default" w:ascii="Times New Roman" w:hAnsi="Times New Roman" w:cs="Times New Roman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widowControl w:val="0"/>
        <w:tabs>
          <w:tab w:val="left" w:pos="8295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第六条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本单位的举办单位是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深圳市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福田区机关事务管理局</w:t>
      </w:r>
      <w:r>
        <w:rPr>
          <w:rFonts w:hint="default" w:ascii="Times New Roman" w:hAnsi="Times New Roman" w:cs="Times New Roman"/>
          <w:szCs w:val="32"/>
          <w:u w:val="none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260"/>
          <w:tab w:val="left" w:pos="1980"/>
        </w:tabs>
        <w:wordWrap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第七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的业务主管单</w:t>
      </w:r>
      <w:r>
        <w:rPr>
          <w:rFonts w:hint="eastAsia" w:cs="Times New Roman"/>
          <w:sz w:val="32"/>
          <w:szCs w:val="32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</w:t>
      </w:r>
      <w:r>
        <w:rPr>
          <w:rFonts w:hint="eastAsia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深圳市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福田区机关事务管理局</w:t>
      </w:r>
      <w:r>
        <w:rPr>
          <w:rFonts w:hint="default" w:ascii="Times New Roman" w:hAnsi="Times New Roman" w:cs="Times New Roman"/>
          <w:szCs w:val="32"/>
          <w:u w:val="none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8295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第八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本单位的登记管理机关是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深圳市福田区事业单位登记管理局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26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第九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本单位的领导体制是</w:t>
      </w:r>
      <w:r>
        <w:rPr>
          <w:rFonts w:hint="eastAsia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>行政领导人负责制</w:t>
      </w:r>
      <w:r>
        <w:rPr>
          <w:rFonts w:hint="default" w:ascii="Times New Roman" w:hAnsi="Times New Roman" w:cs="Times New Roman"/>
          <w:szCs w:val="32"/>
          <w:u w:val="none"/>
        </w:rPr>
        <w:t>。</w:t>
      </w:r>
    </w:p>
    <w:p>
      <w:pPr>
        <w:widowControl w:val="0"/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本单位的宗旨是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cs="Times New Roman"/>
          <w:szCs w:val="32"/>
          <w:u w:val="none"/>
          <w:lang w:eastAsia="zh-CN"/>
        </w:rPr>
        <w:t>福田区</w:t>
      </w:r>
      <w:r>
        <w:rPr>
          <w:rFonts w:hint="eastAsia" w:cs="Times New Roman"/>
          <w:szCs w:val="32"/>
          <w:u w:val="none"/>
          <w:lang w:val="en-US" w:eastAsia="zh-CN"/>
        </w:rPr>
        <w:t>机关</w:t>
      </w: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>提供</w:t>
      </w:r>
      <w:r>
        <w:rPr>
          <w:rFonts w:hint="eastAsia" w:cs="Times New Roman"/>
          <w:szCs w:val="32"/>
          <w:u w:val="none"/>
          <w:lang w:val="en-US" w:eastAsia="zh-CN"/>
        </w:rPr>
        <w:t>后勤</w:t>
      </w:r>
      <w:r>
        <w:rPr>
          <w:rFonts w:hint="default" w:ascii="Times New Roman" w:hAnsi="Times New Roman" w:cs="Times New Roman"/>
          <w:szCs w:val="32"/>
          <w:u w:val="none"/>
          <w:lang w:eastAsia="zh-CN"/>
        </w:rPr>
        <w:t>服务保障</w:t>
      </w:r>
      <w:r>
        <w:rPr>
          <w:rFonts w:hint="default" w:ascii="Times New Roman" w:hAnsi="Times New Roman" w:cs="Times New Roman"/>
          <w:szCs w:val="32"/>
          <w:u w:val="none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26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第十一条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本单位的业务范围包括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u w:val="none"/>
          <w:lang w:eastAsia="zh-CN"/>
        </w:rPr>
        <w:t>负责区机关日常膳食和政务接待、应急任务和临时工作任务的餐饮服务保障。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sz w:val="32"/>
          <w:u w:val="none"/>
          <w:lang w:eastAsia="zh-CN"/>
        </w:rPr>
        <w:t>负责区机关公务、政务、深港两地用车工作的服务保障；负责区机关公务、政务、深港两地车辆的管理和购置、更新、维保等工作。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sz w:val="32"/>
          <w:u w:val="none"/>
          <w:lang w:eastAsia="zh-CN"/>
        </w:rPr>
        <w:t>负责区机关会务保障及区领导的公务服务保障。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sz w:val="32"/>
          <w:u w:val="none"/>
          <w:lang w:eastAsia="zh-CN"/>
        </w:rPr>
        <w:t>负责区委大院以外的区机关办公楼、办公点的物业服务管理、考评、保障、维修维护和各大楼安全的统筹管理工作。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sz w:val="32"/>
          <w:u w:val="none"/>
          <w:lang w:eastAsia="zh-CN"/>
        </w:rPr>
        <w:t>负责区领导和区机关政务活动的后勤保障。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sz w:val="32"/>
          <w:u w:val="none"/>
          <w:lang w:eastAsia="zh-CN"/>
        </w:rPr>
        <w:t>负责区机关相关生活服务项目的管理和保障。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sz w:val="32"/>
          <w:u w:val="none"/>
          <w:lang w:eastAsia="zh-CN"/>
        </w:rPr>
        <w:t>负责区机关后勤队伍建设的管理。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sz w:val="32"/>
          <w:u w:val="none"/>
          <w:lang w:eastAsia="zh-CN"/>
        </w:rPr>
        <w:t>负责区机关后勤服务保障各项经费的预算、结算、使用和管理；负责列入区机关服务保障中心管理的公共固定资产的管理工作</w:t>
      </w:r>
      <w:r>
        <w:rPr>
          <w:rFonts w:hint="eastAsia" w:ascii="仿宋_GB2312" w:eastAsia="仿宋_GB2312"/>
          <w:sz w:val="32"/>
          <w:u w:val="none"/>
          <w:lang w:val="en-US" w:eastAsia="zh-CN"/>
        </w:rPr>
        <w:t>。</w:t>
      </w:r>
    </w:p>
    <w:p>
      <w:pPr>
        <w:spacing w:line="560" w:lineRule="exact"/>
        <w:ind w:firstLine="640"/>
        <w:rPr>
          <w:rFonts w:hint="eastAsia" w:ascii="楷体_GB2312" w:eastAsia="楷体_GB2312"/>
          <w:color w:val="FF000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eastAsia="仿宋_GB2312"/>
          <w:sz w:val="32"/>
          <w:u w:val="none"/>
          <w:lang w:eastAsia="zh-CN"/>
        </w:rPr>
        <w:t>完成上级部门交办的其他任务</w:t>
      </w:r>
      <w:r>
        <w:rPr>
          <w:rFonts w:hint="eastAsia" w:ascii="仿宋_GB2312" w:eastAsia="仿宋_GB2312"/>
          <w:sz w:val="32"/>
          <w:u w:val="none"/>
        </w:rPr>
        <w:t>。</w:t>
      </w:r>
    </w:p>
    <w:p>
      <w:pPr>
        <w:widowControl w:val="0"/>
        <w:wordWrap/>
        <w:adjustRightInd/>
        <w:snapToGrid/>
        <w:spacing w:line="240" w:lineRule="auto"/>
        <w:ind w:firstLine="544" w:firstLineChars="200"/>
        <w:textAlignment w:val="auto"/>
        <w:rPr>
          <w:rFonts w:hint="default" w:ascii="Times New Roman" w:hAnsi="Times New Roman" w:eastAsia="楷体_GB2312" w:cs="Times New Roman"/>
          <w:i w:val="0"/>
          <w:iCs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第二章  党的建设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firstLine="624" w:firstLineChars="200"/>
        <w:textAlignment w:val="auto"/>
        <w:rPr>
          <w:rFonts w:hint="eastAsia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第十二条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本单位党组织的地位和作用是</w:t>
      </w:r>
      <w:r>
        <w:rPr>
          <w:rFonts w:hint="eastAsia" w:cs="Times New Roman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cs="Times New Roman"/>
          <w:szCs w:val="32"/>
          <w:u w:val="none"/>
        </w:rPr>
        <w:t>党组织发挥领导核心作用。认真履行党章和有关规定明确的职责任务，按照把方向、议大事、管全局的要求，决定本单位重大问题，统一领导本单位工作。</w:t>
      </w:r>
    </w:p>
    <w:p>
      <w:pPr>
        <w:widowControl w:val="0"/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本单位党组织发挥作用的方式、途径和程序</w:t>
      </w:r>
      <w:r>
        <w:rPr>
          <w:rFonts w:hint="eastAsia" w:cs="Times New Roman"/>
          <w:sz w:val="32"/>
          <w:szCs w:val="32"/>
          <w:lang w:eastAsia="zh-CN"/>
        </w:rPr>
        <w:t>：</w:t>
      </w:r>
    </w:p>
    <w:p>
      <w:pPr>
        <w:widowControl w:val="0"/>
        <w:tabs>
          <w:tab w:val="left" w:pos="2160"/>
        </w:tabs>
        <w:wordWrap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cs="Times New Roman"/>
          <w:szCs w:val="32"/>
          <w:u w:val="none"/>
        </w:rPr>
        <w:t>党组织发挥战斗堡垒作用，紧密围绕党的基本路线，会同行政领导班子共同做好本单位工作，充分发挥政治优势、思想优势和组织优势，促进事业发展。</w:t>
      </w:r>
    </w:p>
    <w:p>
      <w:pPr>
        <w:widowControl w:val="0"/>
        <w:numPr>
          <w:ilvl w:val="0"/>
          <w:numId w:val="0"/>
        </w:numPr>
        <w:tabs>
          <w:tab w:val="left" w:pos="216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第十四条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本单位通过以下方式保证党的全面领导</w:t>
      </w:r>
      <w:r>
        <w:rPr>
          <w:rFonts w:hint="eastAsia" w:cs="Times New Roman"/>
          <w:sz w:val="32"/>
          <w:szCs w:val="32"/>
          <w:lang w:eastAsia="zh-CN"/>
        </w:rPr>
        <w:t>：</w:t>
      </w:r>
    </w:p>
    <w:p>
      <w:pPr>
        <w:widowControl w:val="0"/>
        <w:tabs>
          <w:tab w:val="left" w:pos="2160"/>
        </w:tabs>
        <w:wordWrap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u w:val="none"/>
          <w:lang w:val="en-US" w:eastAsia="zh-CN"/>
        </w:rPr>
        <w:t>党支部</w:t>
      </w:r>
      <w:r>
        <w:rPr>
          <w:rFonts w:hint="default" w:ascii="Times New Roman" w:hAnsi="Times New Roman" w:cs="Times New Roman"/>
          <w:szCs w:val="32"/>
          <w:u w:val="none"/>
        </w:rPr>
        <w:t>坚持和完善民主集中制，改进领导方式和工作方式，健全议事规则和决策程序，坚持重大问题集体讨论决定，不断提高科学决策、民主决策、依法决策水平。健全集体领导和个人分工负责相结合制度，正确处理党政关系，既充分发挥党组织的领导核心作用，又切实保证行政领导人充分行使职权。党组织特别是书记要把抓班子带队伍、抓党建强基础摆在突出位置，切实做好党的建设各项工作。行政领导人要自觉接受党组织领导，认真贯彻党组织决议、决定，按照分工抓好集体决策事项的组织实施。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第三章  举办单位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sz w:val="32"/>
          <w:szCs w:val="32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第十五条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的权利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（一）提出本单位的机构编制事项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（二）组建本单位管理层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（三）提名或任免本单位的行政负责人及其他主要管理人员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（四）批准管理层工作报告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eastAsia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（五）监督本单位运行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（六）组织指导本单位制定章程草案（修订案），负责审核本单位章程草案及修订案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（七）本单位终止时，负责指导本单位依法开展清算、办理事业单位法人注销登记，并按照有关规定做好本单位的人员、资产和债权债务处置工作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（八）行使法律法规规定的举办单位权利。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条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义务</w:t>
      </w:r>
    </w:p>
    <w:p>
      <w:pPr>
        <w:pStyle w:val="2"/>
        <w:ind w:firstLine="624" w:firstLineChars="200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/>
        </w:rPr>
        <w:t>遵守宪法和法律</w:t>
      </w:r>
      <w:r>
        <w:rPr>
          <w:rFonts w:hint="eastAsia"/>
          <w:lang w:eastAsia="zh-CN"/>
        </w:rPr>
        <w:t>。</w:t>
      </w:r>
    </w:p>
    <w:p>
      <w:pPr>
        <w:pStyle w:val="2"/>
        <w:ind w:firstLine="624" w:firstLineChars="200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/>
        </w:rPr>
        <w:t>忠于职守，执行上级主管部门和本单位决策机构依法做出的决定和命令</w:t>
      </w:r>
      <w:r>
        <w:rPr>
          <w:rFonts w:hint="eastAsia"/>
          <w:lang w:eastAsia="zh-CN"/>
        </w:rPr>
        <w:t>。</w:t>
      </w:r>
    </w:p>
    <w:p>
      <w:pPr>
        <w:pStyle w:val="2"/>
        <w:ind w:firstLine="624" w:firstLineChars="200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/>
        </w:rPr>
        <w:t>按照事业单位职权范围和</w:t>
      </w:r>
      <w:r>
        <w:rPr>
          <w:rFonts w:hint="eastAsia"/>
          <w:lang w:val="en-US" w:eastAsia="zh-CN"/>
        </w:rPr>
        <w:t>章</w:t>
      </w:r>
      <w:r>
        <w:rPr>
          <w:rFonts w:hint="default"/>
        </w:rPr>
        <w:t>程认真履行职责，保证各项工作的顺利开展</w:t>
      </w:r>
      <w:r>
        <w:rPr>
          <w:rFonts w:hint="eastAsia"/>
          <w:lang w:eastAsia="zh-CN"/>
        </w:rPr>
        <w:t>。</w:t>
      </w:r>
    </w:p>
    <w:p>
      <w:pPr>
        <w:pStyle w:val="2"/>
        <w:ind w:firstLine="624" w:firstLineChars="200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/>
        </w:rPr>
        <w:t>贯彻民主集中制原则，保证决策的科学性、正确性。</w:t>
      </w:r>
    </w:p>
    <w:p>
      <w:pPr>
        <w:pStyle w:val="2"/>
        <w:ind w:firstLine="624" w:firstLineChars="20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第四章  </w:t>
      </w:r>
      <w:r>
        <w:rPr>
          <w:rFonts w:hint="default" w:ascii="Times New Roman" w:hAnsi="Times New Roman" w:eastAsia="黑体" w:cs="Times New Roman"/>
          <w:sz w:val="32"/>
          <w:szCs w:val="32"/>
        </w:rPr>
        <w:t>管理层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第十七条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的决策机构是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24"/>
          <w:u w:val="none"/>
          <w:lang w:val="en-US" w:eastAsia="zh-CN"/>
        </w:rPr>
        <w:t>深圳市福田区</w:t>
      </w:r>
      <w:r>
        <w:rPr>
          <w:rFonts w:hint="eastAsia" w:ascii="仿宋_GB2312"/>
          <w:sz w:val="32"/>
          <w:szCs w:val="24"/>
          <w:u w:val="none"/>
          <w:lang w:val="en-US" w:eastAsia="zh-CN"/>
        </w:rPr>
        <w:t>机关服务保障中心主任办公会</w:t>
      </w:r>
      <w:r>
        <w:rPr>
          <w:rFonts w:hint="default" w:ascii="Times New Roman" w:hAnsi="Times New Roman" w:cs="Times New Roman"/>
          <w:szCs w:val="32"/>
          <w:u w:val="none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第十八</w:t>
      </w:r>
      <w:r>
        <w:rPr>
          <w:rFonts w:hint="eastAsia" w:eastAsia="黑体" w:cs="Times New Roman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本单位决策机构的职责、产生方式、任期及考核、议事规则是</w:t>
      </w:r>
      <w:r>
        <w:rPr>
          <w:rFonts w:hint="eastAsia" w:cs="Times New Roman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（一）接受党的领导，贯彻执行党的方针政策</w:t>
      </w:r>
      <w:bookmarkStart w:id="0" w:name="_GoBack"/>
      <w:bookmarkEnd w:id="0"/>
      <w:r>
        <w:rPr>
          <w:rFonts w:hint="default"/>
          <w:lang w:eastAsia="zh-CN"/>
        </w:rPr>
        <w:t>和决策部署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（二）拟定和实施年度工作计划等日常业务管理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（三）编制并组织实施经费预算等财务资产管理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（四）工作人员管理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（五）定期向党组织和举办单位汇报工作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（六）负责筹建章程起草（修订）组织，拟制本单位章程草案（修订案）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（七）建立健全各项内部管理制度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（八）完成举办单位交办的各项任务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  <w:lang w:eastAsia="zh-CN"/>
        </w:rPr>
      </w:pPr>
      <w:r>
        <w:rPr>
          <w:rFonts w:hint="default"/>
          <w:lang w:eastAsia="zh-CN"/>
        </w:rPr>
        <w:t>（九）本单位终止时，负责依法开展清算、办理事业单位法人注销登记</w:t>
      </w:r>
      <w:r>
        <w:rPr>
          <w:rFonts w:hint="eastAsia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080"/>
          <w:tab w:val="left" w:pos="1980"/>
        </w:tabs>
        <w:wordWrap/>
        <w:adjustRightInd/>
        <w:snapToGrid/>
        <w:spacing w:line="240" w:lineRule="auto"/>
        <w:ind w:firstLine="624" w:firstLineChars="200"/>
        <w:textAlignment w:val="auto"/>
        <w:outlineLvl w:val="0"/>
        <w:rPr>
          <w:rFonts w:hint="default"/>
        </w:rPr>
      </w:pPr>
      <w:r>
        <w:rPr>
          <w:rFonts w:hint="default"/>
          <w:lang w:eastAsia="zh-CN"/>
        </w:rPr>
        <w:t>（十）举办单位赋予的其他职权。</w:t>
      </w:r>
    </w:p>
    <w:p>
      <w:pPr>
        <w:widowControl w:val="0"/>
        <w:tabs>
          <w:tab w:val="left" w:pos="216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十九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行政负责人的产生方式和职权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cs="Times New Roman"/>
          <w:szCs w:val="32"/>
          <w:u w:val="none"/>
          <w:lang w:val="en-US" w:eastAsia="zh-CN"/>
        </w:rPr>
        <w:t>区委任免中心主任主持本单位业务工作</w:t>
      </w:r>
      <w:r>
        <w:rPr>
          <w:rFonts w:hint="default" w:ascii="Times New Roman" w:hAnsi="Times New Roman" w:cs="Times New Roman"/>
          <w:szCs w:val="32"/>
          <w:u w:val="none"/>
        </w:rPr>
        <w:t>。</w:t>
      </w:r>
    </w:p>
    <w:p>
      <w:pPr>
        <w:widowControl w:val="0"/>
        <w:tabs>
          <w:tab w:val="left" w:pos="2160"/>
        </w:tabs>
        <w:wordWrap/>
        <w:adjustRightInd/>
        <w:snapToGrid/>
        <w:spacing w:line="240" w:lineRule="auto"/>
        <w:ind w:firstLine="624" w:firstLineChars="200"/>
        <w:jc w:val="both"/>
        <w:textAlignment w:val="auto"/>
        <w:rPr>
          <w:rFonts w:hint="default" w:ascii="Times New Roman" w:hAnsi="Times New Roman" w:eastAsia="楷体_GB2312" w:cs="Times New Roman"/>
          <w:i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本单位拟任法定代表人产生方式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none"/>
        </w:rPr>
        <w:t>经本辖区事业单位登记管理部门核准登记，方取得事业单位法定代表人资格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widowControl w:val="0"/>
        <w:tabs>
          <w:tab w:val="left" w:pos="216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eastAsia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二十一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本单位内部组织机构设置及产生程序、议事规则</w:t>
      </w:r>
      <w:r>
        <w:rPr>
          <w:rFonts w:hint="eastAsia" w:cs="Times New Roman"/>
          <w:sz w:val="32"/>
          <w:szCs w:val="32"/>
          <w:lang w:eastAsia="zh-CN"/>
        </w:rPr>
        <w:t>：</w:t>
      </w:r>
    </w:p>
    <w:p>
      <w:pPr>
        <w:pStyle w:val="2"/>
        <w:ind w:firstLine="624" w:firstLineChars="200"/>
        <w:rPr>
          <w:rFonts w:hint="default"/>
        </w:rPr>
      </w:pPr>
      <w:r>
        <w:rPr>
          <w:rFonts w:hint="default"/>
        </w:rPr>
        <w:t>区机关服务保障中心设六个内设机构，分别为：综合保障部、膳食保障部、车辆保障部、会务保障部、物业保障部、物资保障部。</w:t>
      </w:r>
    </w:p>
    <w:p>
      <w:pPr>
        <w:pStyle w:val="2"/>
        <w:ind w:firstLine="624" w:firstLineChars="200"/>
        <w:rPr>
          <w:rFonts w:hint="default"/>
        </w:rPr>
      </w:pPr>
      <w:r>
        <w:rPr>
          <w:rFonts w:hint="default"/>
        </w:rPr>
        <w:t>（一）综合保障部。承担中心的党建工作；承担中心综合会议、工会、文秘、文件收发、宣传教育、档案资料管理、内外联络、统筹协调等日常运转工作；承担中心后勤服务保障队伍建设及非在编人员人事、经费管理工作；承担区机关后勤服务保障各项经费预、结算工作；承担区领导和列入区机关服务保障中心管理的公共固定资产，以及本中心固定资产管理工作；承担机关理发室、机关干洗室的日常管理工作；负责区机关大院室内羽毛球场管理。</w:t>
      </w:r>
    </w:p>
    <w:p>
      <w:pPr>
        <w:pStyle w:val="2"/>
        <w:ind w:firstLine="624" w:firstLineChars="200"/>
        <w:rPr>
          <w:rFonts w:hint="default"/>
        </w:rPr>
      </w:pPr>
      <w:r>
        <w:rPr>
          <w:rFonts w:hint="default"/>
        </w:rPr>
        <w:t>（二）膳食保障部。承担区机关各食堂及集中配餐的日常管理、物资统筹、运营监督、膳食服务队伍建设工作；承担机关干部职工日常膳食和政务接待、应急任务和临时工作任务的餐饮保障工作；承担食堂食品卫生安全检测室的日常管理工作。</w:t>
      </w:r>
    </w:p>
    <w:p>
      <w:pPr>
        <w:pStyle w:val="2"/>
        <w:ind w:firstLine="624" w:firstLineChars="200"/>
        <w:rPr>
          <w:rFonts w:hint="default"/>
        </w:rPr>
      </w:pPr>
      <w:r>
        <w:rPr>
          <w:rFonts w:hint="default"/>
        </w:rPr>
        <w:t>（三）车辆保障部。承担区领导公务用车、区机关政务用车、深港两地车和后勤用车的日常管理、调配、维修、保养、保障和司机队伍建设工作；承担区机关公务车辆购置、更新、维保等相关工作。</w:t>
      </w:r>
    </w:p>
    <w:p>
      <w:pPr>
        <w:pStyle w:val="2"/>
        <w:ind w:firstLine="624" w:firstLineChars="200"/>
        <w:rPr>
          <w:rFonts w:hint="default"/>
        </w:rPr>
      </w:pPr>
      <w:r>
        <w:rPr>
          <w:rFonts w:hint="default"/>
        </w:rPr>
        <w:t>（四）会务保障部。承担福田会堂和区机关各公共会议室的日常管理工作，为区机关各类型政务会议提供服务保障；承担区四套班子领导办公室的物资保障、环境卫生、报刊派送等勤务服务工作；承担会务公务服务队伍建设工作。</w:t>
      </w:r>
    </w:p>
    <w:p>
      <w:pPr>
        <w:pStyle w:val="2"/>
        <w:ind w:firstLine="624" w:firstLineChars="200"/>
        <w:rPr>
          <w:rFonts w:hint="default"/>
        </w:rPr>
      </w:pPr>
      <w:r>
        <w:rPr>
          <w:rFonts w:hint="default"/>
        </w:rPr>
        <w:t>（五）物业保障部。承担区委大院以外的区机关办公楼、办公点的物业服务管理、考评、保障、维修维护和各大楼安全的统筹管理工作。</w:t>
      </w:r>
    </w:p>
    <w:p>
      <w:pPr>
        <w:pStyle w:val="2"/>
        <w:ind w:firstLine="624" w:firstLineChars="200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/>
        </w:rPr>
        <w:t>（六）物资保障部。承担区机关政务、区领导及本中心的办公物资的集中采购和自行采购、发放以及仓储管理工作。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资产和财务的管理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二十</w:t>
      </w:r>
      <w:r>
        <w:rPr>
          <w:rFonts w:hint="eastAsia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国有资产包括使用财政资金形成的资产，接受调拨或者划转、置换形成的资产，接受捐赠并确认为国有的资产以及其他国有资产；其表现形式为流动资产、固定资产、无形资产和对外投资等。本单位应当根据依法履行职能和事业发展的需要，结合资产存量、资产配置标准、绩效目标和财政承受能力配置资产。本单位按照有关规定负责单位内部国有资产的具体管理，应当建立和完善内部控制管理制度。</w:t>
      </w:r>
    </w:p>
    <w:p>
      <w:pPr>
        <w:widowControl w:val="0"/>
        <w:tabs>
          <w:tab w:val="left" w:pos="216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二十</w:t>
      </w:r>
      <w:r>
        <w:rPr>
          <w:rFonts w:hint="eastAsia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eastAsia="黑体" w:cs="Times New Roman"/>
          <w:sz w:val="32"/>
          <w:szCs w:val="32"/>
          <w:lang w:eastAsia="zh-CN"/>
        </w:rPr>
        <w:t xml:space="preserve">条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本单位执行国家实行统一的会计制度，依法接受税务、财政、审计、国有资产管理等主管部门监督管理。本单位的经费使用应符合本单位的宗旨和业务范围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>
      <w:pPr>
        <w:widowControl w:val="0"/>
        <w:tabs>
          <w:tab w:val="left" w:pos="2160"/>
        </w:tabs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cs="Times New Roman"/>
          <w:szCs w:val="32"/>
          <w:u w:val="singl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第二十</w:t>
      </w:r>
      <w:r>
        <w:rPr>
          <w:rFonts w:hint="eastAsia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eastAsia="黑体" w:cs="Times New Roman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财务管理体制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cs="Times New Roman"/>
          <w:sz w:val="32"/>
          <w:szCs w:val="32"/>
          <w:lang w:val="en-US" w:eastAsia="zh-CN"/>
        </w:rPr>
        <w:t>规定统一领导、集中管理等模式，对财务收支、决算、绩效、预算管理等作出规定。</w:t>
      </w:r>
    </w:p>
    <w:p>
      <w:pPr>
        <w:widowControl w:val="0"/>
        <w:wordWrap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二十五</w:t>
      </w:r>
      <w:r>
        <w:rPr>
          <w:rFonts w:hint="eastAsia" w:eastAsia="黑体" w:cs="Times New Roman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本单位的人员（包括在编人员、离退休人员和聘用人员）工资、社保、福利待遇按照国家有关规定执行。</w:t>
      </w:r>
    </w:p>
    <w:p>
      <w:pPr>
        <w:widowControl w:val="0"/>
        <w:wordWrap/>
        <w:adjustRightInd/>
        <w:snapToGrid/>
        <w:spacing w:line="240" w:lineRule="auto"/>
        <w:ind w:right="-144" w:firstLine="62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二十六</w:t>
      </w:r>
      <w:r>
        <w:rPr>
          <w:rFonts w:hint="eastAsia" w:eastAsia="黑体" w:cs="Times New Roman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本单位接受捐赠、资助和使用的原则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none"/>
        </w:rPr>
        <w:t>接受捐赠及使用接受举办单位和事业单位登记管理机关监督，并将有关情况以适当方式向社会公布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widowControl w:val="0"/>
        <w:tabs>
          <w:tab w:val="left" w:pos="2160"/>
        </w:tabs>
        <w:wordWrap/>
        <w:adjustRightInd/>
        <w:snapToGrid/>
        <w:spacing w:line="240" w:lineRule="auto"/>
        <w:ind w:right="-144" w:firstLine="624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二十七</w:t>
      </w:r>
      <w:r>
        <w:rPr>
          <w:rFonts w:hint="eastAsia" w:eastAsia="黑体" w:cs="Times New Roman"/>
          <w:sz w:val="32"/>
          <w:szCs w:val="32"/>
          <w:lang w:eastAsia="zh-CN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本单位内部审计、领导人员经济责任审计、财政、税务等审计监督制度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本单位的资产管理执行国家有关规定，任何单位、个人不得侵占、私分和挪用，并接受举办单位和财政（税务）、审计部门的监督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Chars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信息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公开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Chars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二十八</w:t>
      </w:r>
      <w:r>
        <w:rPr>
          <w:rFonts w:hint="eastAsia" w:eastAsia="黑体" w:cs="Times New Roman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本单位承诺按照国家法律法规和事业单位登记管理机关的规定，真实、完整、及时地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以下信息：</w:t>
      </w:r>
    </w:p>
    <w:p>
      <w:pPr>
        <w:widowControl w:val="0"/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）本单位章程，自章程核准（备案）之日起5个工作日内在自有或举办单位的信息平台发布章程正式文本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（二）本单位年度报告，应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按照有关时限要求，向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登记管理机关报送。</w:t>
      </w:r>
    </w:p>
    <w:p>
      <w:pPr>
        <w:widowControl w:val="0"/>
        <w:wordWrap/>
        <w:adjustRightInd/>
        <w:snapToGrid/>
        <w:spacing w:line="240" w:lineRule="auto"/>
        <w:ind w:right="-144"/>
        <w:textAlignment w:val="auto"/>
        <w:rPr>
          <w:rFonts w:hint="default" w:ascii="Times New Roman" w:hAnsi="Times New Roman" w:eastAsia="楷体_GB2312" w:cs="Times New Roman"/>
          <w:i w:val="0"/>
          <w:i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Chars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终止和剩余资产处理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Chars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before="0" w:beforeLines="0"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二十九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本单位有以下情形之一，应当终止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（一）完成章程规定宗旨的。</w:t>
      </w:r>
    </w:p>
    <w:p>
      <w:pPr>
        <w:spacing w:line="560" w:lineRule="exact"/>
        <w:ind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（二）无法按照章程规定的宗旨继续开展活动的。</w:t>
      </w:r>
    </w:p>
    <w:p>
      <w:pPr>
        <w:spacing w:line="560" w:lineRule="exact"/>
        <w:ind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原审批机关决定撤销的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因合并、解散的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三十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条 </w:t>
      </w:r>
      <w:r>
        <w:rPr>
          <w:rFonts w:hint="default" w:ascii="Times New Roman" w:hAnsi="Times New Roman" w:eastAsia="黑体" w:cs="Times New Roman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本单位在申请注销登记前，应在举办单位和有关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的指导下，成立清算组织，开展清算工作。清算期间不开展清算以外的活动。</w:t>
      </w:r>
    </w:p>
    <w:p>
      <w:pPr>
        <w:widowControl w:val="0"/>
        <w:tabs>
          <w:tab w:val="left" w:pos="2700"/>
        </w:tabs>
        <w:wordWrap/>
        <w:adjustRightInd/>
        <w:snapToGrid/>
        <w:spacing w:line="240" w:lineRule="auto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三十</w:t>
      </w:r>
      <w:r>
        <w:rPr>
          <w:rFonts w:hint="eastAsia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条 </w:t>
      </w:r>
      <w:r>
        <w:rPr>
          <w:rFonts w:hint="default" w:ascii="Times New Roman" w:hAnsi="Times New Roman" w:eastAsia="黑体" w:cs="Times New Roman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清算工作结束后形成清算报告，报举办单位审查同意，向登记管理机关申请注销登记。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本单位存在下列情形之一的，且资产及债权债务情况清晰明确，权利义务有承接单位的事业单位，可按照有关规定向登记管理机关申请简易注销登记：转制为行政机构的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转制为国有企业的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因合并、分立解散的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直接撤销事业单位建制的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三十</w:t>
      </w:r>
      <w:r>
        <w:rPr>
          <w:rFonts w:hint="eastAsia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本单位终止后的剩余资产，在举办单位和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财政、国有资产管理等部门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的监督下，按照有关法律法规和章程进行处置。</w:t>
      </w:r>
    </w:p>
    <w:p>
      <w:pPr>
        <w:widowControl w:val="0"/>
        <w:wordWrap/>
        <w:adjustRightInd/>
        <w:snapToGrid/>
        <w:spacing w:line="240" w:lineRule="auto"/>
        <w:ind w:right="-144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Chars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章程修改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Chars="0" w:right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before="0" w:beforeLines="0"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本单位有下列情形之一，应当修改章程：</w:t>
      </w:r>
    </w:p>
    <w:p>
      <w:pPr>
        <w:widowControl w:val="0"/>
        <w:tabs>
          <w:tab w:val="left" w:pos="2700"/>
        </w:tabs>
        <w:wordWrap/>
        <w:adjustRightInd/>
        <w:snapToGrid/>
        <w:spacing w:before="0" w:beforeLines="0" w:line="240" w:lineRule="auto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（一）章程规定的事项与修改后的国家法律、行政法规的规定不符的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widowControl w:val="0"/>
        <w:tabs>
          <w:tab w:val="left" w:pos="2700"/>
        </w:tabs>
        <w:wordWrap/>
        <w:adjustRightInd/>
        <w:snapToGrid/>
        <w:spacing w:before="0" w:beforeLines="0" w:line="240" w:lineRule="auto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（二）章程内容与实际情况不符的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（三）决策机构决定修改章程的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tabs>
          <w:tab w:val="left" w:pos="2700"/>
        </w:tabs>
        <w:wordWrap/>
        <w:adjustRightInd/>
        <w:snapToGrid/>
        <w:spacing w:before="0" w:beforeLines="0" w:line="240" w:lineRule="auto"/>
        <w:ind w:left="0" w:leftChars="0" w:right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章程修改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应经举办单位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和业务主管单位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核准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，并向登记管理机关备案。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涉及事业单位法人登记事项的，须向登记管理机关申请变更登记。</w:t>
      </w:r>
    </w:p>
    <w:p>
      <w:pPr>
        <w:widowControl w:val="0"/>
        <w:wordWrap/>
        <w:adjustRightInd/>
        <w:snapToGrid/>
        <w:spacing w:line="240" w:lineRule="auto"/>
        <w:ind w:right="-144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="0" w:lef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则</w:t>
      </w:r>
    </w:p>
    <w:p>
      <w:pPr>
        <w:widowControl w:val="0"/>
        <w:numPr>
          <w:ilvl w:val="0"/>
          <w:numId w:val="0"/>
        </w:numPr>
        <w:tabs>
          <w:tab w:val="left" w:pos="1260"/>
        </w:tabs>
        <w:wordWrap/>
        <w:adjustRightInd/>
        <w:snapToGrid/>
        <w:spacing w:before="0" w:beforeLines="0" w:line="240" w:lineRule="auto"/>
        <w:ind w:left="0" w:lef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-144" w:firstLine="624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本章程于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>福田区机关服务保障中心主任办公会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表决通过。</w:t>
      </w:r>
    </w:p>
    <w:p>
      <w:pPr>
        <w:widowControl w:val="0"/>
        <w:wordWrap/>
        <w:adjustRightInd/>
        <w:snapToGrid/>
        <w:spacing w:line="240" w:lineRule="auto"/>
        <w:ind w:left="0" w:leftChars="0" w:firstLine="624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本章程内容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如与法律法规、行政规章及国家政策相抵触时，应以法律法规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行政规章及国家政策的规定为准。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涉及事业单位法人登记事项的，以登记管理机关核准颁发的《事业单位法人证书》刊载内容为准。</w:t>
      </w:r>
    </w:p>
    <w:p>
      <w:pPr>
        <w:widowControl w:val="0"/>
        <w:wordWrap/>
        <w:adjustRightInd/>
        <w:snapToGrid/>
        <w:spacing w:line="240" w:lineRule="auto"/>
        <w:ind w:left="0" w:leftChars="0" w:firstLine="624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本章程的解释权属于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cs="Times New Roman"/>
          <w:sz w:val="32"/>
          <w:szCs w:val="32"/>
          <w:u w:val="none"/>
          <w:lang w:val="en-US" w:eastAsia="zh-CN"/>
        </w:rPr>
        <w:t>深圳市福田区机关服务保障中心主任办公会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firstLine="624" w:firstLineChars="200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eastAsia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本章程自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起生效。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0" w:afterAutospacing="0" w:line="240" w:lineRule="auto"/>
        <w:ind w:right="0"/>
        <w:jc w:val="both"/>
        <w:textAlignment w:val="auto"/>
        <w:outlineLvl w:val="9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2211" w:right="1588" w:bottom="1871" w:left="1587" w:header="851" w:footer="1474" w:gutter="0"/>
          <w:pgNumType w:fmt="decimal"/>
          <w:cols w:space="720" w:num="1"/>
          <w:rtlGutter w:val="0"/>
          <w:docGrid w:type="linesAndChars" w:linePitch="554" w:charSpace="-167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rFonts w:ascii="Times New Roman" w:hAnsi="Times New Roman" w:eastAsia="仿宋_GB2312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pacing w:val="3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3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gNsJDs8BAACj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pacing w:val="3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pacing w:val="3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0125673"/>
    <w:rsid w:val="009F2D4A"/>
    <w:rsid w:val="00E71D09"/>
    <w:rsid w:val="011F7810"/>
    <w:rsid w:val="01F04E67"/>
    <w:rsid w:val="02F343B2"/>
    <w:rsid w:val="037E3411"/>
    <w:rsid w:val="04190FDB"/>
    <w:rsid w:val="04247D87"/>
    <w:rsid w:val="04291E03"/>
    <w:rsid w:val="04BA18BB"/>
    <w:rsid w:val="05115DD6"/>
    <w:rsid w:val="054449EB"/>
    <w:rsid w:val="06F040E3"/>
    <w:rsid w:val="070E247D"/>
    <w:rsid w:val="072733AF"/>
    <w:rsid w:val="0878571D"/>
    <w:rsid w:val="091B1F3B"/>
    <w:rsid w:val="09DA5287"/>
    <w:rsid w:val="0C076F2A"/>
    <w:rsid w:val="0C70012B"/>
    <w:rsid w:val="0C77474B"/>
    <w:rsid w:val="0EC11363"/>
    <w:rsid w:val="0F040825"/>
    <w:rsid w:val="0F2D04D6"/>
    <w:rsid w:val="0FA70613"/>
    <w:rsid w:val="109F66A0"/>
    <w:rsid w:val="10E85991"/>
    <w:rsid w:val="110A22E0"/>
    <w:rsid w:val="11F738F0"/>
    <w:rsid w:val="12153766"/>
    <w:rsid w:val="12502A87"/>
    <w:rsid w:val="13415586"/>
    <w:rsid w:val="13A121CB"/>
    <w:rsid w:val="141C7438"/>
    <w:rsid w:val="143956AD"/>
    <w:rsid w:val="14796C33"/>
    <w:rsid w:val="147D3B6E"/>
    <w:rsid w:val="14AE3D44"/>
    <w:rsid w:val="15325552"/>
    <w:rsid w:val="157E757E"/>
    <w:rsid w:val="16023CA7"/>
    <w:rsid w:val="161747F3"/>
    <w:rsid w:val="162304A9"/>
    <w:rsid w:val="163741AF"/>
    <w:rsid w:val="17385CB7"/>
    <w:rsid w:val="181E6746"/>
    <w:rsid w:val="18ED199B"/>
    <w:rsid w:val="19315FE8"/>
    <w:rsid w:val="193855D8"/>
    <w:rsid w:val="19FB0E86"/>
    <w:rsid w:val="1A017B59"/>
    <w:rsid w:val="1A454342"/>
    <w:rsid w:val="1A471A95"/>
    <w:rsid w:val="1ADE6140"/>
    <w:rsid w:val="1B9A3D16"/>
    <w:rsid w:val="1C5B0922"/>
    <w:rsid w:val="1C5C42CE"/>
    <w:rsid w:val="1C762660"/>
    <w:rsid w:val="1D0E0497"/>
    <w:rsid w:val="1D2447A4"/>
    <w:rsid w:val="1D495815"/>
    <w:rsid w:val="1DC606CE"/>
    <w:rsid w:val="1DCC77F2"/>
    <w:rsid w:val="1DE048C3"/>
    <w:rsid w:val="1E75267A"/>
    <w:rsid w:val="1EDC1473"/>
    <w:rsid w:val="1EEB52F4"/>
    <w:rsid w:val="1EFC0936"/>
    <w:rsid w:val="1F9A0FEB"/>
    <w:rsid w:val="1FC91107"/>
    <w:rsid w:val="1FD8542E"/>
    <w:rsid w:val="20080F0A"/>
    <w:rsid w:val="20803AE6"/>
    <w:rsid w:val="209B17EC"/>
    <w:rsid w:val="20A97CF5"/>
    <w:rsid w:val="2109551B"/>
    <w:rsid w:val="21C111E6"/>
    <w:rsid w:val="222B1B5D"/>
    <w:rsid w:val="223A353E"/>
    <w:rsid w:val="226F5DC3"/>
    <w:rsid w:val="228658E4"/>
    <w:rsid w:val="22920598"/>
    <w:rsid w:val="22FD1FA0"/>
    <w:rsid w:val="231F4AD1"/>
    <w:rsid w:val="23AE1333"/>
    <w:rsid w:val="23D94C73"/>
    <w:rsid w:val="240252DF"/>
    <w:rsid w:val="2410473E"/>
    <w:rsid w:val="242C0007"/>
    <w:rsid w:val="24DF3BCA"/>
    <w:rsid w:val="254B2FC5"/>
    <w:rsid w:val="25C42BEB"/>
    <w:rsid w:val="262849A9"/>
    <w:rsid w:val="283A0F2D"/>
    <w:rsid w:val="28E26910"/>
    <w:rsid w:val="29435A9D"/>
    <w:rsid w:val="2949263C"/>
    <w:rsid w:val="2A257771"/>
    <w:rsid w:val="2A617DE1"/>
    <w:rsid w:val="2A9350CC"/>
    <w:rsid w:val="2C60151A"/>
    <w:rsid w:val="2D082B49"/>
    <w:rsid w:val="2D4E37F1"/>
    <w:rsid w:val="2D8D4327"/>
    <w:rsid w:val="2D905278"/>
    <w:rsid w:val="2E616B5C"/>
    <w:rsid w:val="2E9B27D4"/>
    <w:rsid w:val="2ED10B1C"/>
    <w:rsid w:val="2EE34F55"/>
    <w:rsid w:val="2F68314D"/>
    <w:rsid w:val="2F6857FB"/>
    <w:rsid w:val="30AA6335"/>
    <w:rsid w:val="30DD6C67"/>
    <w:rsid w:val="30F36AA3"/>
    <w:rsid w:val="319B4A94"/>
    <w:rsid w:val="31EB1BCD"/>
    <w:rsid w:val="335D6188"/>
    <w:rsid w:val="34326634"/>
    <w:rsid w:val="34682D85"/>
    <w:rsid w:val="3478540C"/>
    <w:rsid w:val="35E3741D"/>
    <w:rsid w:val="36135ABE"/>
    <w:rsid w:val="36830437"/>
    <w:rsid w:val="371A5DF0"/>
    <w:rsid w:val="378A33E2"/>
    <w:rsid w:val="37EC5458"/>
    <w:rsid w:val="38991A4C"/>
    <w:rsid w:val="38BA1CB2"/>
    <w:rsid w:val="39453FB7"/>
    <w:rsid w:val="39D76F0A"/>
    <w:rsid w:val="39E05D19"/>
    <w:rsid w:val="3A7714B7"/>
    <w:rsid w:val="3A94463A"/>
    <w:rsid w:val="3AEE541F"/>
    <w:rsid w:val="3B086CC3"/>
    <w:rsid w:val="3BC37D1D"/>
    <w:rsid w:val="3C700292"/>
    <w:rsid w:val="3D1370B5"/>
    <w:rsid w:val="3D2C3F2F"/>
    <w:rsid w:val="3D592289"/>
    <w:rsid w:val="3E063061"/>
    <w:rsid w:val="3E3D4BD7"/>
    <w:rsid w:val="3E7449C9"/>
    <w:rsid w:val="40035ED6"/>
    <w:rsid w:val="41C730B0"/>
    <w:rsid w:val="420839EE"/>
    <w:rsid w:val="423A42FD"/>
    <w:rsid w:val="426E3805"/>
    <w:rsid w:val="43F53D84"/>
    <w:rsid w:val="440C421E"/>
    <w:rsid w:val="450B0351"/>
    <w:rsid w:val="45271229"/>
    <w:rsid w:val="45D34194"/>
    <w:rsid w:val="466D0C0A"/>
    <w:rsid w:val="47707CD6"/>
    <w:rsid w:val="48623C62"/>
    <w:rsid w:val="48A45809"/>
    <w:rsid w:val="48A64B59"/>
    <w:rsid w:val="49472C53"/>
    <w:rsid w:val="497D5E8F"/>
    <w:rsid w:val="49E35A90"/>
    <w:rsid w:val="4A20766F"/>
    <w:rsid w:val="4A555071"/>
    <w:rsid w:val="4B58683F"/>
    <w:rsid w:val="4B9B3597"/>
    <w:rsid w:val="4BBE72B1"/>
    <w:rsid w:val="4BDB4977"/>
    <w:rsid w:val="4BE11F29"/>
    <w:rsid w:val="4C0A1026"/>
    <w:rsid w:val="4CDB4BE7"/>
    <w:rsid w:val="4DF43FCD"/>
    <w:rsid w:val="4E592471"/>
    <w:rsid w:val="4E870167"/>
    <w:rsid w:val="4F0C383C"/>
    <w:rsid w:val="4F30331D"/>
    <w:rsid w:val="4F522B5D"/>
    <w:rsid w:val="4F8535BD"/>
    <w:rsid w:val="50985708"/>
    <w:rsid w:val="50C82FA0"/>
    <w:rsid w:val="50F0640A"/>
    <w:rsid w:val="514A0651"/>
    <w:rsid w:val="51A06D63"/>
    <w:rsid w:val="51A62965"/>
    <w:rsid w:val="52635B2C"/>
    <w:rsid w:val="52B86D67"/>
    <w:rsid w:val="5416756A"/>
    <w:rsid w:val="54A62E6F"/>
    <w:rsid w:val="56205967"/>
    <w:rsid w:val="56850D0C"/>
    <w:rsid w:val="57F60768"/>
    <w:rsid w:val="58864FD1"/>
    <w:rsid w:val="58F9016A"/>
    <w:rsid w:val="590D56DC"/>
    <w:rsid w:val="59152E29"/>
    <w:rsid w:val="591D753B"/>
    <w:rsid w:val="59A53D3C"/>
    <w:rsid w:val="59CE5F37"/>
    <w:rsid w:val="59F04E7D"/>
    <w:rsid w:val="5A6A1797"/>
    <w:rsid w:val="5AE451DD"/>
    <w:rsid w:val="5B006189"/>
    <w:rsid w:val="5B770D9D"/>
    <w:rsid w:val="5BFA7DFE"/>
    <w:rsid w:val="5C0A3175"/>
    <w:rsid w:val="5C915316"/>
    <w:rsid w:val="5CF01502"/>
    <w:rsid w:val="5D776C2D"/>
    <w:rsid w:val="5E18349F"/>
    <w:rsid w:val="5F825814"/>
    <w:rsid w:val="5F825F6B"/>
    <w:rsid w:val="5FD84E59"/>
    <w:rsid w:val="600A3A79"/>
    <w:rsid w:val="6024777F"/>
    <w:rsid w:val="60FA73A3"/>
    <w:rsid w:val="61563D4A"/>
    <w:rsid w:val="62066B61"/>
    <w:rsid w:val="621206F4"/>
    <w:rsid w:val="622A173C"/>
    <w:rsid w:val="62652A63"/>
    <w:rsid w:val="62D51CC4"/>
    <w:rsid w:val="63215800"/>
    <w:rsid w:val="632C5937"/>
    <w:rsid w:val="65262972"/>
    <w:rsid w:val="66637A12"/>
    <w:rsid w:val="66B02777"/>
    <w:rsid w:val="67AE3BC4"/>
    <w:rsid w:val="690D59A8"/>
    <w:rsid w:val="69304C6B"/>
    <w:rsid w:val="6934607A"/>
    <w:rsid w:val="69592691"/>
    <w:rsid w:val="69737C03"/>
    <w:rsid w:val="6A042FF4"/>
    <w:rsid w:val="6A3738FB"/>
    <w:rsid w:val="6B03434D"/>
    <w:rsid w:val="6C411CC0"/>
    <w:rsid w:val="6C752DA2"/>
    <w:rsid w:val="6C9A75C5"/>
    <w:rsid w:val="6C9E75A3"/>
    <w:rsid w:val="6D201EA6"/>
    <w:rsid w:val="6D5B6B75"/>
    <w:rsid w:val="6D8F20D6"/>
    <w:rsid w:val="6E907A8C"/>
    <w:rsid w:val="6ED725C8"/>
    <w:rsid w:val="6F5B70F1"/>
    <w:rsid w:val="6F5F0D89"/>
    <w:rsid w:val="6FAE03F8"/>
    <w:rsid w:val="6FBE6E22"/>
    <w:rsid w:val="6FD1635B"/>
    <w:rsid w:val="707C2D2E"/>
    <w:rsid w:val="711D3E40"/>
    <w:rsid w:val="71771CF5"/>
    <w:rsid w:val="71867E85"/>
    <w:rsid w:val="71D527CF"/>
    <w:rsid w:val="72784D33"/>
    <w:rsid w:val="727B1153"/>
    <w:rsid w:val="72B00BEE"/>
    <w:rsid w:val="73133A58"/>
    <w:rsid w:val="73703127"/>
    <w:rsid w:val="73DA1742"/>
    <w:rsid w:val="7573264B"/>
    <w:rsid w:val="76FC1C82"/>
    <w:rsid w:val="773607A9"/>
    <w:rsid w:val="777D1887"/>
    <w:rsid w:val="77CB570F"/>
    <w:rsid w:val="78A6053F"/>
    <w:rsid w:val="78B447C8"/>
    <w:rsid w:val="791528BE"/>
    <w:rsid w:val="7924774C"/>
    <w:rsid w:val="79436292"/>
    <w:rsid w:val="796D682F"/>
    <w:rsid w:val="79C550B8"/>
    <w:rsid w:val="79EB5243"/>
    <w:rsid w:val="7A533481"/>
    <w:rsid w:val="7A7B0C89"/>
    <w:rsid w:val="7CBD5CF6"/>
    <w:rsid w:val="7CD434CB"/>
    <w:rsid w:val="7D0C45F9"/>
    <w:rsid w:val="7D8D4ADE"/>
    <w:rsid w:val="7ED87EAE"/>
    <w:rsid w:val="7FE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-Jus</cp:lastModifiedBy>
  <cp:lastPrinted>2022-12-23T10:05:00Z</cp:lastPrinted>
  <dcterms:modified xsi:type="dcterms:W3CDTF">2024-02-04T04:48:07Z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600CECED6E6642D79B18FDBCF5E7F22F</vt:lpwstr>
  </property>
</Properties>
</file>