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2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20" w:lineRule="exact"/>
        <w:jc w:val="center"/>
        <w:outlineLvl w:val="0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深圳市福田区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投资促进局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20" w:lineRule="exact"/>
        <w:jc w:val="center"/>
        <w:outlineLvl w:val="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202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年“三公”经费财政拨款预算情况</w:t>
      </w:r>
    </w:p>
    <w:p>
      <w:pPr>
        <w:shd w:val="solid" w:color="FFFFFF" w:fill="auto"/>
        <w:overflowPunct w:val="0"/>
        <w:autoSpaceDN w:val="0"/>
        <w:spacing w:line="420" w:lineRule="exact"/>
        <w:ind w:firstLine="421" w:firstLineChars="200"/>
        <w:jc w:val="left"/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1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0"/>
        </w:rPr>
        <w:t>一、“三公”经费的单位范围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0"/>
        </w:rPr>
        <w:br w:type="textWrapping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0"/>
        </w:rPr>
        <w:t xml:space="preserve">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中共深圳市福田区</w:t>
      </w:r>
      <w:r>
        <w:rPr>
          <w:rFonts w:hint="eastAsia" w:cs="Times New Roman"/>
          <w:color w:val="000000"/>
          <w:kern w:val="2"/>
          <w:sz w:val="21"/>
          <w:szCs w:val="21"/>
          <w:lang w:eastAsia="zh-CN"/>
        </w:rPr>
        <w:t>投资促进局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0"/>
        </w:rPr>
        <w:t>因公出国（境）费用、公务接待费、公务用车购置和运行维护费开支单位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包括本级</w:t>
      </w:r>
      <w:r>
        <w:rPr>
          <w:rFonts w:hint="eastAsia" w:cs="Times New Roman"/>
          <w:color w:val="000000"/>
          <w:kern w:val="2"/>
          <w:sz w:val="21"/>
          <w:szCs w:val="21"/>
          <w:lang w:val="en-US" w:eastAsia="zh-CN"/>
        </w:rPr>
        <w:t>1家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>单位。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0"/>
        </w:rPr>
        <w:br w:type="textWrapping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0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0"/>
        </w:rPr>
        <w:t xml:space="preserve">   二、“三公”经费预算情况说明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0"/>
        </w:rPr>
        <w:br w:type="textWrapping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0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2025年财政拨款“三公”经费预算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万元，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比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2024年年初预算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增长24万元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1.因公出国（境）费用。2025年预算数0万元，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2024年年初预算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持平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。为加强因公出国（境）经费管理，我区各单位因公出国（境）经费按零基预算的原则根据区外事部门审定计划动态调配使用，因此各单位2025年因公出国（境）经费预算数为0万元，在实际执行中根据计划据实调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.公务接待费。2025年预算数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万元，</w:t>
      </w:r>
      <w:r>
        <w:rPr>
          <w:rFonts w:hint="eastAsia" w:ascii="宋体" w:hAnsi="宋体" w:cs="宋体"/>
          <w:highlight w:val="none"/>
          <w:u w:val="none"/>
        </w:rPr>
        <w:t>与2024年年初预算持平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.公务用车购置和运行维护费。2025年预算数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万元，其中：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公务用车购置费2025年预算数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万元，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比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2024年年初预算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增长18万元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公车购置计划；</w:t>
      </w:r>
      <w:r>
        <w:rPr>
          <w:rFonts w:hint="eastAsia" w:ascii="宋体" w:hAnsi="宋体" w:cs="宋体"/>
          <w:highlight w:val="none"/>
          <w:u w:val="none"/>
        </w:rPr>
        <w:t>2025年计划购置车辆</w:t>
      </w:r>
      <w:r>
        <w:rPr>
          <w:rFonts w:hint="default" w:ascii="宋体" w:hAnsi="宋体" w:cs="宋体"/>
          <w:highlight w:val="none"/>
          <w:u w:val="none"/>
          <w:lang w:val="en-US"/>
        </w:rPr>
        <w:t>1</w:t>
      </w:r>
      <w:r>
        <w:rPr>
          <w:rFonts w:hint="eastAsia" w:ascii="宋体" w:hAnsi="宋体" w:cs="宋体"/>
          <w:highlight w:val="none"/>
          <w:u w:val="none"/>
        </w:rPr>
        <w:t>辆，主要是</w:t>
      </w:r>
      <w:r>
        <w:rPr>
          <w:rFonts w:hint="eastAsia" w:ascii="宋体" w:hAnsi="宋体" w:cs="宋体"/>
          <w:highlight w:val="none"/>
          <w:u w:val="none"/>
          <w:lang w:eastAsia="zh-CN"/>
        </w:rPr>
        <w:t>应急保障用车。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公务用车运行维护费2025年预算数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万元，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比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2024年年初预算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增长6万元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，现有公务用车</w:t>
      </w:r>
      <w:r>
        <w:rPr>
          <w:rFonts w:hint="eastAsia" w:ascii="宋体" w:hAnsi="宋体" w:cs="宋体"/>
          <w:color w:val="auto"/>
          <w:kern w:val="2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"/>
          <w:szCs w:val="21"/>
          <w:lang w:val="en-US" w:eastAsia="zh-CN"/>
        </w:rPr>
        <w:t>辆，公务用车运行维护费主要是用于车辆维修、过桥过路、燃油费、停车费、</w:t>
      </w:r>
      <w:r>
        <w:rPr>
          <w:rFonts w:hint="eastAsia" w:ascii="宋体" w:hAnsi="宋体" w:eastAsia="宋体" w:cs="宋体"/>
          <w:kern w:val="2"/>
          <w:szCs w:val="21"/>
          <w:lang w:val="en-US" w:eastAsia="zh-CN"/>
        </w:rPr>
        <w:t>保险费等开支。</w:t>
      </w:r>
    </w:p>
    <w:p>
      <w:pPr>
        <w:pStyle w:val="2"/>
        <w:rPr>
          <w:rFonts w:hint="eastAsia" w:ascii="宋体" w:hAnsi="宋体" w:eastAsia="宋体" w:cs="宋体"/>
          <w:kern w:val="2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kern w:val="2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kern w:val="2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kern w:val="2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kern w:val="2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kern w:val="2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kern w:val="2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adjustRightInd w:val="0"/>
        <w:snapToGrid w:val="0"/>
        <w:spacing w:line="420" w:lineRule="exact"/>
        <w:ind w:firstLine="420" w:firstLineChars="200"/>
        <w:rPr>
          <w:rFonts w:hint="eastAsia" w:ascii="宋体" w:hAnsi="宋体" w:eastAsia="宋体" w:cs="宋体"/>
          <w:kern w:val="2"/>
          <w:szCs w:val="21"/>
          <w:u w:val="none"/>
          <w:lang w:val="en-US" w:eastAsia="zh-CN"/>
        </w:rPr>
      </w:pP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56"/>
        <w:gridCol w:w="916"/>
        <w:gridCol w:w="686"/>
        <w:gridCol w:w="714"/>
        <w:gridCol w:w="675"/>
        <w:gridCol w:w="689"/>
        <w:gridCol w:w="369"/>
        <w:gridCol w:w="247"/>
        <w:gridCol w:w="916"/>
        <w:gridCol w:w="363"/>
        <w:gridCol w:w="252"/>
        <w:gridCol w:w="643"/>
        <w:gridCol w:w="714"/>
        <w:gridCol w:w="626"/>
        <w:gridCol w:w="641"/>
        <w:gridCol w:w="714"/>
        <w:gridCol w:w="626"/>
        <w:gridCol w:w="641"/>
        <w:gridCol w:w="621"/>
        <w:gridCol w:w="626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财政拨款“三公”经费支出表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0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单位名称：深圳市福田区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投资促进局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39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81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9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(境)费</w:t>
            </w:r>
          </w:p>
        </w:tc>
        <w:tc>
          <w:tcPr>
            <w:tcW w:w="767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0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1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69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76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6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投资促进局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增减变化金额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深圳市福田区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投资促进局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（本级）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增减变化金额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27F95"/>
    <w:rsid w:val="2CDC2965"/>
    <w:rsid w:val="2EA27F95"/>
    <w:rsid w:val="5F3F08CF"/>
    <w:rsid w:val="6FB3D022"/>
    <w:rsid w:val="7EAD999C"/>
    <w:rsid w:val="7F7FA9B0"/>
    <w:rsid w:val="CEBFFCA7"/>
    <w:rsid w:val="DDE78A82"/>
    <w:rsid w:val="DEFFE602"/>
    <w:rsid w:val="EFEFD0BF"/>
    <w:rsid w:val="FB5F9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b/>
      <w:bCs/>
      <w:color w:val="000000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2020-01-25T00:17:00Z</dcterms:created>
  <dc:creator>聂慧</dc:creator>
  <cp:lastModifiedBy>TCJ12345678</cp:lastModifiedBy>
  <dcterms:modified xsi:type="dcterms:W3CDTF">2025-02-17T15:28:11Z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E1239AE88BCC00F80BE5B26797BF4CFB_43</vt:lpwstr>
  </property>
</Properties>
</file>